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4A35" w14:textId="66294FDE" w:rsidR="00B47EC1" w:rsidRDefault="008154FE">
      <w: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1878"/>
        <w:gridCol w:w="2517"/>
      </w:tblGrid>
      <w:tr w:rsidR="00596237" w:rsidRPr="00596237" w14:paraId="27403293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B512DB" w14:textId="77777777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PROCESO AUDITADO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3FBD" w14:textId="6EB3FA6A" w:rsidR="00596237" w:rsidRPr="00596237" w:rsidRDefault="00741088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741088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Registro y Conciliación de Operaciones Recíprocas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F1709E1" w14:textId="4750E6C9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VIGENCIA</w:t>
            </w:r>
            <w:r w:rsidR="00865FD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353389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AUDITADA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CDE" w14:textId="0BA01307" w:rsidR="00596237" w:rsidRPr="00596237" w:rsidRDefault="003A217F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2025</w:t>
            </w:r>
          </w:p>
        </w:tc>
      </w:tr>
      <w:tr w:rsidR="00390523" w:rsidRPr="00596237" w14:paraId="1BF71858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838F22" w14:textId="1C0F6B44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FECHA DE INICIO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4139" w14:textId="36B89510" w:rsidR="00C12CAF" w:rsidRPr="003772FF" w:rsidRDefault="00526345" w:rsidP="004A428F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16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16"/>
                <w:lang w:eastAsia="es-CO"/>
              </w:rPr>
              <w:t>15/11</w:t>
            </w:r>
            <w:r w:rsidR="00F256E6">
              <w:rPr>
                <w:rFonts w:ascii="Arial" w:eastAsia="SimSun" w:hAnsi="Arial" w:cs="Arial"/>
                <w:b/>
                <w:bCs/>
                <w:sz w:val="20"/>
                <w:szCs w:val="16"/>
                <w:lang w:eastAsia="es-CO"/>
              </w:rPr>
              <w:t>/2025</w:t>
            </w:r>
            <w:r w:rsidR="00C12CAF" w:rsidRPr="003772FF">
              <w:rPr>
                <w:rFonts w:ascii="Arial" w:eastAsia="SimSun" w:hAnsi="Arial" w:cs="Arial"/>
                <w:b/>
                <w:bCs/>
                <w:sz w:val="20"/>
                <w:szCs w:val="16"/>
                <w:lang w:eastAsia="es-CO"/>
              </w:rPr>
              <w:t> </w:t>
            </w:r>
          </w:p>
          <w:p w14:paraId="4B16F500" w14:textId="1F68236A" w:rsidR="00390523" w:rsidRPr="00596237" w:rsidRDefault="00C12CAF" w:rsidP="00C12CA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AC1DF2F" w14:textId="07DB5555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FECHA DE INFORME FINAL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F448" w14:textId="6F243C18" w:rsidR="00390523" w:rsidRPr="00596237" w:rsidRDefault="00526345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3/12</w:t>
            </w:r>
            <w:r w:rsidR="00F256E6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/2025</w:t>
            </w:r>
          </w:p>
        </w:tc>
      </w:tr>
      <w:tr w:rsidR="00390523" w:rsidRPr="00596237" w14:paraId="33DBF1C1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4470C3" w14:textId="4718E453" w:rsidR="00390523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SUSPENSIÓN DE AUDITORÍA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0184" w14:textId="7C9BADEA" w:rsidR="00390523" w:rsidRPr="00596237" w:rsidRDefault="00390523" w:rsidP="00C12CAF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54E2EF13" w14:textId="017224E3" w:rsidR="00596237" w:rsidRDefault="00596237"/>
    <w:tbl>
      <w:tblPr>
        <w:tblW w:w="9493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294"/>
        <w:gridCol w:w="1951"/>
        <w:gridCol w:w="2410"/>
      </w:tblGrid>
      <w:tr w:rsidR="00390523" w:rsidRPr="00596237" w14:paraId="19641E47" w14:textId="77777777" w:rsidTr="00624C16">
        <w:trPr>
          <w:trHeight w:val="6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E4BFED" w14:textId="502D8E81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OBJETIVOS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DC5" w14:textId="77777777" w:rsidR="00390523" w:rsidRDefault="00C12CAF" w:rsidP="00090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s-CO"/>
              </w:rPr>
            </w:pPr>
            <w:r w:rsidRPr="00715685">
              <w:rPr>
                <w:rFonts w:ascii="Arial" w:eastAsia="Times New Roman" w:hAnsi="Arial" w:cs="Arial"/>
                <w:sz w:val="20"/>
                <w:lang w:eastAsia="es-CO"/>
              </w:rPr>
              <w:t xml:space="preserve">Verificar </w:t>
            </w:r>
            <w:r w:rsidR="00090BB1" w:rsidRPr="00715685">
              <w:rPr>
                <w:rFonts w:ascii="Arial" w:eastAsia="Times New Roman" w:hAnsi="Arial" w:cs="Arial"/>
                <w:sz w:val="20"/>
                <w:lang w:eastAsia="es-CO"/>
              </w:rPr>
              <w:t xml:space="preserve">el avance de la depuración de los saldos por conciliar de las Operaciones Reciprocas registradas y reportadas en el CHIP por parte del proceso de contabilidad </w:t>
            </w:r>
            <w:r w:rsidR="00715685" w:rsidRPr="00715685">
              <w:rPr>
                <w:rFonts w:ascii="Arial" w:eastAsia="Times New Roman" w:hAnsi="Arial" w:cs="Arial"/>
                <w:sz w:val="20"/>
                <w:lang w:eastAsia="es-CO"/>
              </w:rPr>
              <w:t>como consecuencia de las transacciones en las diferentes entidades públicas de conformidad con la normatividad y lineamientos vigentes emitidos por la Contaduría General de la Nación- CGN.</w:t>
            </w:r>
          </w:p>
          <w:p w14:paraId="2A7A08BB" w14:textId="77777777" w:rsidR="00A4286C" w:rsidRPr="00A4286C" w:rsidRDefault="00A4286C" w:rsidP="00A4286C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Realizar el seguimiento detallado a las operaciones recíprocas registradas en el Sistema CHIP (formato C05) por parte de terceros hacia la E.I.C.E. Promotora de Eventos y Turismo S.A.S., y aquellas reportadas por la entidad hacia terceros, identificando:</w:t>
            </w:r>
          </w:p>
          <w:p w14:paraId="26ADBFAF" w14:textId="77777777" w:rsidR="00A4286C" w:rsidRPr="00A4286C" w:rsidRDefault="00A4286C" w:rsidP="00A4286C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Conciliación y coincidencia de saldos.</w:t>
            </w:r>
          </w:p>
          <w:p w14:paraId="729F5691" w14:textId="77777777" w:rsidR="00A4286C" w:rsidRPr="00A4286C" w:rsidRDefault="00A4286C" w:rsidP="00A4286C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Diferencias detectadas por la CGN.</w:t>
            </w:r>
          </w:p>
          <w:p w14:paraId="65C8E924" w14:textId="77777777" w:rsidR="00A4286C" w:rsidRPr="00A4286C" w:rsidRDefault="00A4286C" w:rsidP="00A4286C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Clasificación por origen de la diferencia.</w:t>
            </w:r>
          </w:p>
          <w:p w14:paraId="67A4FCA4" w14:textId="77777777" w:rsidR="00A4286C" w:rsidRPr="00A4286C" w:rsidRDefault="00A4286C" w:rsidP="00A4286C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Riesgos contables y de control interno.</w:t>
            </w:r>
          </w:p>
          <w:p w14:paraId="7C746C1A" w14:textId="1C75C0A5" w:rsidR="00715685" w:rsidRPr="00A4286C" w:rsidRDefault="00A4286C" w:rsidP="00A4286C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Necesidades de depuración, reclasificación y conciliación interinstitucional.</w:t>
            </w:r>
          </w:p>
        </w:tc>
      </w:tr>
      <w:tr w:rsidR="00596237" w:rsidRPr="00596237" w14:paraId="49BA0284" w14:textId="77777777" w:rsidTr="00624C16">
        <w:trPr>
          <w:trHeight w:val="5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1A95E9" w14:textId="10CCAC03" w:rsidR="00596237" w:rsidRPr="00A4286C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A4286C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ALCANCE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4947" w14:textId="77777777" w:rsidR="00A4286C" w:rsidRPr="00A4286C" w:rsidRDefault="00A4286C" w:rsidP="00A4286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El presente informe comprende:</w:t>
            </w:r>
          </w:p>
          <w:p w14:paraId="5615016F" w14:textId="77777777" w:rsidR="00A4286C" w:rsidRPr="00A4286C" w:rsidRDefault="00A4286C" w:rsidP="00A4286C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Reporte C05 – Saldos recíprocos informados por otras entidades.</w:t>
            </w:r>
          </w:p>
          <w:p w14:paraId="7EE4D497" w14:textId="77777777" w:rsidR="00A4286C" w:rsidRPr="00A4286C" w:rsidRDefault="00A4286C" w:rsidP="00A4286C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Reporte C05 – Saldos recíprocos informados por la Promotora.</w:t>
            </w:r>
          </w:p>
          <w:p w14:paraId="2BBC99D2" w14:textId="77777777" w:rsidR="00A4286C" w:rsidRPr="00A4286C" w:rsidRDefault="00A4286C" w:rsidP="00A4286C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Reporte de análisis del proceso de consolidación (CHIP – CGN).</w:t>
            </w:r>
          </w:p>
          <w:p w14:paraId="7D65D597" w14:textId="77777777" w:rsidR="00A4286C" w:rsidRPr="00A4286C" w:rsidRDefault="00A4286C" w:rsidP="00A4286C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Categorías analíticas:</w:t>
            </w:r>
          </w:p>
          <w:p w14:paraId="46C00CEC" w14:textId="77777777" w:rsidR="00A4286C" w:rsidRPr="00A4286C" w:rsidRDefault="00A4286C" w:rsidP="00A4286C">
            <w:pPr>
              <w:pStyle w:val="NormalWeb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Momento del devengo o causación</w:t>
            </w:r>
          </w:p>
          <w:p w14:paraId="50BC985E" w14:textId="77777777" w:rsidR="00A4286C" w:rsidRPr="00A4286C" w:rsidRDefault="00A4286C" w:rsidP="00A4286C">
            <w:pPr>
              <w:pStyle w:val="NormalWeb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Criterio contable y normatividad vigente</w:t>
            </w:r>
          </w:p>
          <w:p w14:paraId="6E2E37CB" w14:textId="77777777" w:rsidR="00A4286C" w:rsidRPr="00A4286C" w:rsidRDefault="00A4286C" w:rsidP="00A4286C">
            <w:pPr>
              <w:pStyle w:val="NormalWeb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Diferencias eliminadas vía proceso de consolidación</w:t>
            </w:r>
          </w:p>
          <w:p w14:paraId="7E1F6B4A" w14:textId="77777777" w:rsidR="00A4286C" w:rsidRPr="00A4286C" w:rsidRDefault="00A4286C" w:rsidP="00A4286C">
            <w:pPr>
              <w:pStyle w:val="NormalWeb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Método de medición en inversiones</w:t>
            </w:r>
          </w:p>
          <w:p w14:paraId="16640287" w14:textId="77777777" w:rsidR="00A4286C" w:rsidRPr="00A4286C" w:rsidRDefault="00A4286C" w:rsidP="00A4286C">
            <w:pPr>
              <w:pStyle w:val="NormalWeb"/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Inconsistencias contables (verificadas sin registros)</w:t>
            </w:r>
          </w:p>
          <w:p w14:paraId="38F5D35A" w14:textId="31F4B60E" w:rsidR="00596237" w:rsidRPr="00A4286C" w:rsidRDefault="00A4286C" w:rsidP="00A4286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4286C">
              <w:rPr>
                <w:rFonts w:ascii="Arial" w:hAnsi="Arial" w:cs="Arial"/>
                <w:sz w:val="20"/>
                <w:szCs w:val="20"/>
              </w:rPr>
              <w:t>No se incluyen operaciones posteriores al 30 de septiembre de 2025.</w:t>
            </w:r>
          </w:p>
        </w:tc>
      </w:tr>
      <w:tr w:rsidR="00596237" w:rsidRPr="00596237" w14:paraId="7208027F" w14:textId="77777777" w:rsidTr="006137F0">
        <w:trPr>
          <w:trHeight w:val="23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448CCE7" w14:textId="77777777" w:rsidR="00596237" w:rsidRPr="006137F0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6137F0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CRITERIOS DE AUDITORÍA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663" w14:textId="77777777" w:rsidR="00916A55" w:rsidRPr="006137F0" w:rsidRDefault="00916A55" w:rsidP="006137F0">
            <w:pPr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</w:p>
          <w:p w14:paraId="0026481C" w14:textId="77777777" w:rsidR="006137F0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Régimen de Contabilidad Pública – Resolución 533 de 2015</w:t>
            </w:r>
          </w:p>
          <w:p w14:paraId="0FD5557A" w14:textId="77777777" w:rsidR="006137F0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Manual de Procedimientos CGN – Operaciones Recíprocas</w:t>
            </w:r>
          </w:p>
          <w:p w14:paraId="0D5E9F1A" w14:textId="77777777" w:rsidR="006137F0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Circular 019 de 2022 – Reporte CHIP</w:t>
            </w:r>
          </w:p>
          <w:p w14:paraId="0F36E52B" w14:textId="77777777" w:rsidR="006137F0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Ley 87 de 1993 – Control Interno</w:t>
            </w:r>
          </w:p>
          <w:p w14:paraId="6849ED0B" w14:textId="77777777" w:rsidR="006137F0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MECI – Componente Control Interno Contable</w:t>
            </w:r>
          </w:p>
          <w:p w14:paraId="17E973B1" w14:textId="560669E7" w:rsidR="00596237" w:rsidRPr="006137F0" w:rsidRDefault="006137F0" w:rsidP="006137F0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137F0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Ley 1474 de 2011 – Gestión pública y transparencia</w:t>
            </w:r>
          </w:p>
        </w:tc>
      </w:tr>
      <w:tr w:rsidR="00596237" w:rsidRPr="00596237" w14:paraId="1758903E" w14:textId="77777777" w:rsidTr="00624C16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E84F3B5" w14:textId="00249900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AUDITOR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B1E" w14:textId="33DE1F11" w:rsidR="00596237" w:rsidRPr="00FA23D8" w:rsidRDefault="00C12CAF" w:rsidP="00FA23D8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 w:rsidRPr="00FA23D8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JEIMY LORENA HURTADO ZULUAGA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6626B2F" w14:textId="77777777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AUDITADO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961" w14:textId="381D0D17" w:rsidR="00596237" w:rsidRPr="00FA23D8" w:rsidRDefault="00ED46DB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PROFESIONAL UNIVERSITARIO- CONTADOR</w:t>
            </w:r>
            <w:r w:rsidR="00C12CAF" w:rsidRPr="00FA23D8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 </w:t>
            </w:r>
          </w:p>
        </w:tc>
      </w:tr>
    </w:tbl>
    <w:p w14:paraId="12FDCF04" w14:textId="53F9B7E9" w:rsidR="00596237" w:rsidRDefault="00596237"/>
    <w:p w14:paraId="73938C08" w14:textId="77777777" w:rsidR="00C12CAF" w:rsidRDefault="00C12CAF"/>
    <w:p w14:paraId="7E6FF33B" w14:textId="77777777" w:rsidR="00C12CAF" w:rsidRDefault="00C12CAF"/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96237" w:rsidRPr="00596237" w14:paraId="5856E5A3" w14:textId="77777777" w:rsidTr="00624C16">
        <w:trPr>
          <w:trHeight w:val="32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7B2904F" w14:textId="77777777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RESULTADOS DE LA AUDITORÍA</w:t>
            </w:r>
          </w:p>
        </w:tc>
      </w:tr>
      <w:tr w:rsidR="00596237" w:rsidRPr="00596237" w14:paraId="61C15C7A" w14:textId="77777777" w:rsidTr="0058360B">
        <w:trPr>
          <w:trHeight w:val="168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895" w14:textId="327239E2" w:rsidR="00EE5F24" w:rsidRPr="00EE5F24" w:rsidRDefault="00EE5F24" w:rsidP="009C4F30">
            <w:pPr>
              <w:jc w:val="both"/>
              <w:rPr>
                <w:b/>
                <w:u w:val="single"/>
              </w:rPr>
            </w:pPr>
            <w:r w:rsidRPr="00EE5F24">
              <w:rPr>
                <w:b/>
                <w:u w:val="single"/>
              </w:rPr>
              <w:t>RESULTADOS DEL ANÁLISIS</w:t>
            </w:r>
          </w:p>
          <w:p w14:paraId="04958F76" w14:textId="5EE3C492" w:rsidR="009C4F30" w:rsidRDefault="008D1107" w:rsidP="009C4F30">
            <w:pPr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El presente informe de Seguimiento a las operaciones Reciprocas, se realizó con base a las transacciones reportadas </w:t>
            </w:r>
            <w:r w:rsidR="00B91418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con otras entidades contabl</w:t>
            </w:r>
            <w:r w:rsidR="00140BC8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es públicas en el CHIP para el </w:t>
            </w:r>
            <w:r w:rsidR="00EE5F24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III </w:t>
            </w:r>
            <w:r w:rsidR="004A428F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trimestre de la vigencia 2025</w:t>
            </w:r>
            <w:r w:rsidR="00732F88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 </w:t>
            </w:r>
            <w:r w:rsidR="00DA6DB9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 por parte del proceso de contabilidad de la Promotora de Eventos y Turismo; Lo anterior, en atención a que se deben realizar cruces de información con fuentes externas para el caso de los saldos de  operaciones reciprocas que son reportadas trimestralmente,  con el fin de adelantar las gestiones </w:t>
            </w:r>
            <w:r w:rsidR="00573296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administrativas de manera oportuna para la respectiva depuración de saldos a través de las reuniones/ actas de cruce y conciliación entre entidades públicas, y por último, garantizar  </w:t>
            </w:r>
            <w:r w:rsidR="00195000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que la información financiera que presentada en los estados financieros refleje la realidad económica.</w:t>
            </w:r>
          </w:p>
          <w:p w14:paraId="5AD4F689" w14:textId="77777777" w:rsidR="005211E0" w:rsidRDefault="005211E0" w:rsidP="005211E0">
            <w:pPr>
              <w:pStyle w:val="Prrafodelista"/>
              <w:ind w:left="360"/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</w:p>
          <w:p w14:paraId="051511A4" w14:textId="77777777" w:rsidR="00EE5F24" w:rsidRPr="0027039F" w:rsidRDefault="00EE5F24" w:rsidP="00EE5F2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u w:val="single"/>
                <w:lang w:eastAsia="es-CO"/>
              </w:rPr>
            </w:pPr>
            <w:r w:rsidRPr="0027039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u w:val="single"/>
                <w:lang w:eastAsia="es-CO"/>
              </w:rPr>
              <w:t>Saldos informados por terceros hacia la Promotora</w:t>
            </w:r>
          </w:p>
          <w:p w14:paraId="0B78798E" w14:textId="3AA661D9" w:rsidR="00EE5F24" w:rsidRPr="00EE5F24" w:rsidRDefault="00EE5F24" w:rsidP="00EE5F2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s-CO"/>
              </w:rPr>
            </w:pPr>
            <w:r w:rsidRPr="00EE5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Total reportado por terceros:</w:t>
            </w:r>
            <w:r w:rsidRPr="00EE5F2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≈ $5.035</w:t>
            </w:r>
            <w:r w:rsidRPr="00EE5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millones</w:t>
            </w:r>
          </w:p>
          <w:p w14:paraId="27DBF0BD" w14:textId="77777777" w:rsidR="00EE5F24" w:rsidRDefault="00EE5F24" w:rsidP="00EE5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E5F2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Las principales entidades que reportan saldos elevados son:</w:t>
            </w:r>
          </w:p>
          <w:p w14:paraId="7C697702" w14:textId="77777777" w:rsidR="00EE5F24" w:rsidRDefault="00EE5F24" w:rsidP="00EE5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915"/>
              <w:gridCol w:w="2209"/>
              <w:gridCol w:w="3119"/>
            </w:tblGrid>
            <w:tr w:rsidR="00EE5F24" w:rsidRPr="00EE5F24" w14:paraId="7BC75F2C" w14:textId="77777777" w:rsidTr="00EE5F2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27903" w14:textId="77777777" w:rsidR="00EE5F24" w:rsidRPr="00EE5F24" w:rsidRDefault="00EE5F24" w:rsidP="00EE5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Entidad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94DC4" w14:textId="77777777" w:rsidR="00EE5F24" w:rsidRPr="00EE5F24" w:rsidRDefault="00EE5F24" w:rsidP="00EE5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Cuenta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085944C7" w14:textId="77777777" w:rsidR="00EE5F24" w:rsidRPr="00EE5F24" w:rsidRDefault="00EE5F24" w:rsidP="00EE5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63B04156" w14:textId="77777777" w:rsidR="00EE5F24" w:rsidRPr="00EE5F24" w:rsidRDefault="00EE5F24" w:rsidP="00EE5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Observación</w:t>
                  </w:r>
                </w:p>
              </w:tc>
            </w:tr>
            <w:tr w:rsidR="00EE5F24" w:rsidRPr="00EE5F24" w14:paraId="2C1A2C7E" w14:textId="77777777" w:rsidTr="00EE5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B2082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Alcaldía de Manizales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AE914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1.2.30.05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1B0C738B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$3.996.887.532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47B955B7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Gran diferencia por inversión</w:t>
                  </w:r>
                </w:p>
              </w:tc>
            </w:tr>
            <w:tr w:rsidR="00EE5F24" w:rsidRPr="00EE5F24" w14:paraId="793114C2" w14:textId="77777777" w:rsidTr="00EE5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99D8B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CHEC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D80B6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5.1.11.27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458FAE32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$504.201.680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341A8A1C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Promoción y Divulgación</w:t>
                  </w:r>
                </w:p>
              </w:tc>
            </w:tr>
            <w:tr w:rsidR="00EE5F24" w:rsidRPr="00EE5F24" w14:paraId="59AC6867" w14:textId="77777777" w:rsidTr="00EE5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F64658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La Previsora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57F28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4.3.55.01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591BC545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$132.857.169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196BDA8F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Primas emitidas</w:t>
                  </w:r>
                </w:p>
              </w:tc>
            </w:tr>
            <w:tr w:rsidR="00EE5F24" w:rsidRPr="00EE5F24" w14:paraId="00186AB9" w14:textId="77777777" w:rsidTr="00EE5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2E2A0F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Ministerio de Cultura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057D7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5.4.23.02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3206BD81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$70.000.000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47A0D501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Proyectos inversión</w:t>
                  </w:r>
                </w:p>
              </w:tc>
            </w:tr>
            <w:tr w:rsidR="00EE5F24" w:rsidRPr="00EE5F24" w14:paraId="71729B5C" w14:textId="77777777" w:rsidTr="00EE5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C2E923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Contraloría Municipal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6CAD2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4.1.10.62</w:t>
                  </w:r>
                </w:p>
              </w:tc>
              <w:tc>
                <w:tcPr>
                  <w:tcW w:w="2179" w:type="dxa"/>
                  <w:vAlign w:val="center"/>
                  <w:hideMark/>
                </w:tcPr>
                <w:p w14:paraId="134F9902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$52.389.673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6FAD9679" w14:textId="77777777" w:rsidR="00EE5F24" w:rsidRPr="00EE5F24" w:rsidRDefault="00EE5F24" w:rsidP="00EE5F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E5F2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Cuota fiscalización</w:t>
                  </w:r>
                </w:p>
              </w:tc>
            </w:tr>
          </w:tbl>
          <w:p w14:paraId="4B653704" w14:textId="09886B1A" w:rsidR="00EE5F24" w:rsidRPr="00EE5F24" w:rsidRDefault="00620326" w:rsidP="00E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0326">
              <w:rPr>
                <w:rFonts w:ascii="Arial" w:hAnsi="Arial" w:cs="Arial"/>
                <w:sz w:val="20"/>
                <w:szCs w:val="20"/>
              </w:rPr>
              <w:t>Estos saldos no coinciden en la mayoría de los casos con los reportados por la Promotora.</w:t>
            </w:r>
          </w:p>
          <w:p w14:paraId="56F50401" w14:textId="77777777" w:rsidR="00372F69" w:rsidRDefault="00372F69" w:rsidP="00372F69">
            <w:pPr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</w:p>
          <w:p w14:paraId="1EC571D3" w14:textId="5AFA91E3" w:rsidR="0027039F" w:rsidRPr="0027039F" w:rsidRDefault="0027039F" w:rsidP="00372F69">
            <w:pPr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u w:val="single"/>
                <w:lang w:eastAsia="es-CO"/>
              </w:rPr>
            </w:pPr>
            <w:r w:rsidRPr="0027039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Saldos reportados por la Promotora hacia terceros</w:t>
            </w:r>
          </w:p>
          <w:p w14:paraId="05F28CEE" w14:textId="6A47D6D4" w:rsidR="000764EC" w:rsidRPr="000764EC" w:rsidRDefault="000764EC" w:rsidP="00DE5EC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76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Total reportado por la Promotora:</w:t>
            </w:r>
            <w:r w:rsidRPr="000764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≈ $831</w:t>
            </w:r>
            <w:r w:rsidRPr="00076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.445.285</w:t>
            </w:r>
          </w:p>
          <w:p w14:paraId="45154C5E" w14:textId="77777777" w:rsidR="000764EC" w:rsidRPr="000764EC" w:rsidRDefault="000764EC" w:rsidP="00DE5EC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764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Principales registros: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3"/>
              <w:gridCol w:w="1693"/>
              <w:gridCol w:w="1319"/>
            </w:tblGrid>
            <w:tr w:rsidR="00DE5EC0" w:rsidRPr="00DE5EC0" w14:paraId="3CFDCD0F" w14:textId="77777777" w:rsidTr="00DE5EC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0A0804" w14:textId="77777777" w:rsidR="00DE5EC0" w:rsidRPr="00DE5EC0" w:rsidRDefault="00DE5EC0" w:rsidP="00DE5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Entidad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23D9F" w14:textId="77777777" w:rsidR="00DE5EC0" w:rsidRPr="00DE5EC0" w:rsidRDefault="00DE5EC0" w:rsidP="00DE5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Cuenta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2D121" w14:textId="77777777" w:rsidR="00DE5EC0" w:rsidRPr="00DE5EC0" w:rsidRDefault="00DE5EC0" w:rsidP="00DE5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DE5EC0" w:rsidRPr="00DE5EC0" w14:paraId="6644F59B" w14:textId="77777777" w:rsidTr="00DE5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08BD8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DIAN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1BDAD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Impuesto de renta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67860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$438.635.000</w:t>
                  </w:r>
                </w:p>
              </w:tc>
            </w:tr>
            <w:tr w:rsidR="00DE5EC0" w:rsidRPr="00DE5EC0" w14:paraId="4EEB4C3C" w14:textId="77777777" w:rsidTr="00DE5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F2986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Alcaldía de Manizales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9014D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Predial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3B820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$218.274.780</w:t>
                  </w:r>
                </w:p>
              </w:tc>
            </w:tr>
            <w:tr w:rsidR="00DE5EC0" w:rsidRPr="00DE5EC0" w14:paraId="5DA7E46B" w14:textId="77777777" w:rsidTr="00DE5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D884DF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Ministerio Cultura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E2825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Otros ingresos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6D1B5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$70.000.000</w:t>
                  </w:r>
                </w:p>
              </w:tc>
            </w:tr>
            <w:tr w:rsidR="00DE5EC0" w:rsidRPr="00DE5EC0" w14:paraId="42F65317" w14:textId="77777777" w:rsidTr="00DE5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2CAA5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ICBF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4D363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Aportes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E66B1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$19.357.300</w:t>
                  </w:r>
                </w:p>
              </w:tc>
            </w:tr>
            <w:tr w:rsidR="00DE5EC0" w:rsidRPr="00DE5EC0" w14:paraId="4F8501E1" w14:textId="77777777" w:rsidTr="00DE5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DE7B6F" w14:textId="44F5F0D3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Corporación Autónoma Regional de Caldas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2489C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Servicios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8691A" w14:textId="77777777" w:rsidR="00DE5EC0" w:rsidRPr="00DE5EC0" w:rsidRDefault="00DE5EC0" w:rsidP="00DE5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DE5EC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$14.640.162</w:t>
                  </w:r>
                </w:p>
              </w:tc>
            </w:tr>
          </w:tbl>
          <w:p w14:paraId="0264896A" w14:textId="77777777" w:rsidR="00837E97" w:rsidRPr="00837E97" w:rsidRDefault="00837E97" w:rsidP="00837E97">
            <w:pPr>
              <w:pStyle w:val="Ttulo1"/>
              <w:spacing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E97">
              <w:rPr>
                <w:rStyle w:val="Textoennegrita"/>
                <w:rFonts w:ascii="Arial" w:hAnsi="Arial" w:cs="Arial"/>
                <w:bCs/>
                <w:sz w:val="20"/>
                <w:szCs w:val="20"/>
              </w:rPr>
              <w:t>Comparación entre ambos cuadros</w:t>
            </w:r>
          </w:p>
          <w:p w14:paraId="65F84720" w14:textId="77777777" w:rsidR="00837E97" w:rsidRPr="00837E97" w:rsidRDefault="00837E97" w:rsidP="00837E97">
            <w:pPr>
              <w:pStyle w:val="Normal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Arial" w:hAnsi="Arial" w:cs="Arial"/>
                <w:sz w:val="20"/>
                <w:szCs w:val="20"/>
              </w:rPr>
              <w:t>A continuación te muestro la comparación entre:</w:t>
            </w:r>
          </w:p>
          <w:p w14:paraId="7AAC1168" w14:textId="77777777" w:rsidR="00837E97" w:rsidRDefault="00837E97" w:rsidP="00837E97">
            <w:pPr>
              <w:pStyle w:val="Ttulo3"/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37E97">
              <w:rPr>
                <w:rFonts w:ascii="Segoe UI Symbol" w:hAnsi="Segoe UI Symbol" w:cs="Segoe UI Symbol"/>
                <w:b/>
                <w:color w:val="auto"/>
                <w:sz w:val="20"/>
                <w:szCs w:val="20"/>
              </w:rPr>
              <w:t>✔</w:t>
            </w: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t xml:space="preserve"> Cuadro 1 → Lo que </w:t>
            </w:r>
            <w:r w:rsidRPr="00837E97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terceros reportan hacia la Promotora</w:t>
            </w:r>
          </w:p>
          <w:p w14:paraId="682082B5" w14:textId="19A2B198" w:rsidR="00837E97" w:rsidRPr="00837E97" w:rsidRDefault="00837E97" w:rsidP="00837E97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 w:val="0"/>
                <w:color w:val="auto"/>
                <w:sz w:val="20"/>
                <w:szCs w:val="20"/>
              </w:rPr>
              <w:t>≈ $5.035</w:t>
            </w:r>
            <w:r w:rsidRPr="00837E97">
              <w:rPr>
                <w:rStyle w:val="Textoennegrita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millones</w:t>
            </w:r>
          </w:p>
          <w:p w14:paraId="78B34323" w14:textId="77777777" w:rsidR="00837E97" w:rsidRDefault="00837E97" w:rsidP="00837E97">
            <w:pPr>
              <w:pStyle w:val="Ttulo3"/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37E97">
              <w:rPr>
                <w:rFonts w:ascii="Segoe UI Symbol" w:hAnsi="Segoe UI Symbol" w:cs="Segoe UI Symbol"/>
                <w:b/>
                <w:color w:val="auto"/>
                <w:sz w:val="20"/>
                <w:szCs w:val="20"/>
              </w:rPr>
              <w:t>✔</w:t>
            </w: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t xml:space="preserve"> Cuadro 2 → Lo que </w:t>
            </w:r>
            <w:r w:rsidRPr="00837E97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la Promotora reporta hacia terceros</w:t>
            </w:r>
          </w:p>
          <w:p w14:paraId="2C24118C" w14:textId="0C031620" w:rsidR="00837E97" w:rsidRDefault="00837E97" w:rsidP="00837E97">
            <w:pPr>
              <w:pStyle w:val="Ttulo3"/>
              <w:rPr>
                <w:rStyle w:val="Textoennegrita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 w:val="0"/>
                <w:color w:val="auto"/>
                <w:sz w:val="20"/>
                <w:szCs w:val="20"/>
              </w:rPr>
              <w:t>≈ $831</w:t>
            </w:r>
            <w:r w:rsidRPr="00837E97">
              <w:rPr>
                <w:rStyle w:val="Textoennegrita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millones</w:t>
            </w:r>
          </w:p>
          <w:p w14:paraId="2F024379" w14:textId="77777777" w:rsidR="00837E97" w:rsidRPr="00837E97" w:rsidRDefault="00837E97" w:rsidP="00837E97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>Hallazgos preliminares del cruce</w:t>
            </w:r>
          </w:p>
          <w:p w14:paraId="192C6CC9" w14:textId="77777777" w:rsidR="00837E97" w:rsidRDefault="00837E97" w:rsidP="00837E97">
            <w:pPr>
              <w:pStyle w:val="Ttulo3"/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37E97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1. No existe correlación entre los valores reportados por ambas partes</w:t>
            </w:r>
          </w:p>
          <w:p w14:paraId="1F599461" w14:textId="58562246" w:rsidR="00837E97" w:rsidRPr="00837E97" w:rsidRDefault="00837E97" w:rsidP="00837E97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t>En operaciones recíprocas, los saldos deben coincidir o estar muy cerca.</w:t>
            </w: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Aquí la diferencia es </w:t>
            </w:r>
            <w:r w:rsidRPr="00837E97">
              <w:rPr>
                <w:rStyle w:val="Textoennegrita"/>
                <w:rFonts w:ascii="Arial" w:hAnsi="Arial" w:cs="Arial"/>
                <w:color w:val="auto"/>
                <w:sz w:val="20"/>
                <w:szCs w:val="20"/>
              </w:rPr>
              <w:t>muy significativa</w:t>
            </w: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A9E129F" w14:textId="2F244E82" w:rsidR="00837E97" w:rsidRPr="00837E97" w:rsidRDefault="00837E97" w:rsidP="00837E9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Segoe UI Symbol" w:hAnsi="Segoe UI Symbol" w:cs="Segoe UI Symbol"/>
                <w:sz w:val="20"/>
                <w:szCs w:val="20"/>
              </w:rPr>
              <w:t>🔸</w:t>
            </w:r>
            <w:r w:rsidRPr="00837E97">
              <w:rPr>
                <w:rFonts w:ascii="Arial" w:hAnsi="Arial" w:cs="Arial"/>
                <w:sz w:val="20"/>
                <w:szCs w:val="20"/>
              </w:rPr>
              <w:t xml:space="preserve"> Terceros reportan →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$5.035</w:t>
            </w:r>
            <w:r w:rsidRPr="00837E97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millones</w:t>
            </w:r>
            <w:r w:rsidRPr="00837E97">
              <w:rPr>
                <w:rFonts w:ascii="Arial" w:hAnsi="Arial" w:cs="Arial"/>
                <w:sz w:val="20"/>
                <w:szCs w:val="20"/>
              </w:rPr>
              <w:br/>
            </w:r>
            <w:r w:rsidRPr="00837E97">
              <w:rPr>
                <w:rFonts w:ascii="Segoe UI Symbol" w:hAnsi="Segoe UI Symbol" w:cs="Segoe UI Symbol"/>
                <w:sz w:val="20"/>
                <w:szCs w:val="20"/>
              </w:rPr>
              <w:t>🔸</w:t>
            </w:r>
            <w:r w:rsidRPr="00837E97">
              <w:rPr>
                <w:rFonts w:ascii="Arial" w:hAnsi="Arial" w:cs="Arial"/>
                <w:sz w:val="20"/>
                <w:szCs w:val="20"/>
              </w:rPr>
              <w:t xml:space="preserve"> Promotora reporta →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$831</w:t>
            </w:r>
            <w:r w:rsidRPr="00837E97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millones</w:t>
            </w:r>
            <w:r w:rsidRPr="00837E97">
              <w:rPr>
                <w:rFonts w:ascii="Arial" w:hAnsi="Arial" w:cs="Arial"/>
                <w:sz w:val="20"/>
                <w:szCs w:val="20"/>
              </w:rPr>
              <w:br/>
            </w:r>
            <w:r w:rsidRPr="00837E97">
              <w:rPr>
                <w:rFonts w:ascii="Segoe UI Symbol" w:hAnsi="Segoe UI Symbol" w:cs="Segoe UI Symbol"/>
                <w:sz w:val="20"/>
                <w:szCs w:val="20"/>
              </w:rPr>
              <w:t>🔸</w:t>
            </w:r>
            <w:r w:rsidRPr="00837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7E97">
              <w:rPr>
                <w:rStyle w:val="Textoennegrita"/>
                <w:rFonts w:ascii="Arial" w:hAnsi="Arial" w:cs="Arial"/>
                <w:sz w:val="20"/>
                <w:szCs w:val="20"/>
              </w:rPr>
              <w:t>Diferencia total:</w:t>
            </w:r>
            <w:r w:rsidRPr="00837E97">
              <w:rPr>
                <w:rFonts w:ascii="Arial" w:hAnsi="Arial" w:cs="Arial"/>
                <w:sz w:val="20"/>
                <w:szCs w:val="20"/>
              </w:rPr>
              <w:t xml:space="preserve"> aprox.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$4.204</w:t>
            </w:r>
            <w:r w:rsidRPr="00837E97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millones</w:t>
            </w:r>
          </w:p>
          <w:p w14:paraId="2D3D3F3F" w14:textId="77777777" w:rsidR="00837E97" w:rsidRPr="00837E97" w:rsidRDefault="00837E97" w:rsidP="00837E9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Segoe UI Symbol" w:hAnsi="Segoe UI Symbol" w:cs="Segoe UI Symbol"/>
                <w:sz w:val="20"/>
                <w:szCs w:val="20"/>
              </w:rPr>
              <w:t>👉</w:t>
            </w:r>
            <w:r w:rsidRPr="00837E97">
              <w:rPr>
                <w:rFonts w:ascii="Arial" w:hAnsi="Arial" w:cs="Arial"/>
                <w:sz w:val="20"/>
                <w:szCs w:val="20"/>
              </w:rPr>
              <w:t xml:space="preserve"> Esto indica un riesgo contable alto de inconsistencias, particularmente:</w:t>
            </w:r>
          </w:p>
          <w:p w14:paraId="21B0136E" w14:textId="77777777" w:rsidR="00837E97" w:rsidRPr="00837E97" w:rsidRDefault="00837E97" w:rsidP="00837E97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Arial" w:hAnsi="Arial" w:cs="Arial"/>
                <w:sz w:val="20"/>
                <w:szCs w:val="20"/>
              </w:rPr>
              <w:t>Inversiones de la Alcaldía (3.996 millones)</w:t>
            </w:r>
          </w:p>
          <w:p w14:paraId="7AE617A2" w14:textId="77777777" w:rsidR="00837E97" w:rsidRPr="00837E97" w:rsidRDefault="00837E97" w:rsidP="00837E97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Arial" w:hAnsi="Arial" w:cs="Arial"/>
                <w:sz w:val="20"/>
                <w:szCs w:val="20"/>
              </w:rPr>
              <w:t>Promoción y divulgación CHEC (504 millones)</w:t>
            </w:r>
          </w:p>
          <w:p w14:paraId="6825964A" w14:textId="77777777" w:rsidR="00837E97" w:rsidRPr="00837E97" w:rsidRDefault="00837E97" w:rsidP="00837E97">
            <w:pPr>
              <w:pStyle w:val="NormalWeb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37E97">
              <w:rPr>
                <w:rFonts w:ascii="Arial" w:hAnsi="Arial" w:cs="Arial"/>
                <w:sz w:val="20"/>
                <w:szCs w:val="20"/>
              </w:rPr>
              <w:t>Impuesto Predial (218 millones)</w:t>
            </w:r>
          </w:p>
          <w:p w14:paraId="473A04FB" w14:textId="77777777" w:rsidR="00837E97" w:rsidRDefault="00837E97" w:rsidP="00837E97">
            <w:pPr>
              <w:pStyle w:val="Ttulo3"/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37E97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Hay cuentas del mismo tipo reportadas en ambos cuadros con valores diferentes</w:t>
            </w:r>
          </w:p>
          <w:p w14:paraId="14B2E07D" w14:textId="17DDEF5F" w:rsidR="00837E97" w:rsidRDefault="00837E97" w:rsidP="00837E97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7E97">
              <w:rPr>
                <w:rFonts w:ascii="Arial" w:hAnsi="Arial" w:cs="Arial"/>
                <w:color w:val="auto"/>
                <w:sz w:val="20"/>
                <w:szCs w:val="20"/>
              </w:rPr>
              <w:t>Ejemplo:</w:t>
            </w:r>
          </w:p>
          <w:p w14:paraId="7A00081E" w14:textId="77777777" w:rsidR="002E0185" w:rsidRPr="002E0185" w:rsidRDefault="002E0185" w:rsidP="002E0185"/>
          <w:p w14:paraId="2B854260" w14:textId="77777777" w:rsidR="00837E97" w:rsidRDefault="00837E97" w:rsidP="00837E97"/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2272"/>
              <w:gridCol w:w="2235"/>
              <w:gridCol w:w="2816"/>
            </w:tblGrid>
            <w:tr w:rsidR="00837E97" w:rsidRPr="00837E97" w14:paraId="31704390" w14:textId="77777777" w:rsidTr="00837E9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B4BD74" w14:textId="77777777" w:rsidR="00837E97" w:rsidRPr="00837E97" w:rsidRDefault="00837E97" w:rsidP="00837E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lastRenderedPageBreak/>
                    <w:t>Cuenta / Concepto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4DBC4" w14:textId="77777777" w:rsidR="00837E97" w:rsidRPr="00837E97" w:rsidRDefault="00837E97" w:rsidP="00837E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Terceros → hacia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FB2C3" w14:textId="77777777" w:rsidR="00837E97" w:rsidRPr="00837E97" w:rsidRDefault="00837E97" w:rsidP="00837E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Promotora → hacia terceros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9C466" w14:textId="77777777" w:rsidR="00837E97" w:rsidRPr="00837E97" w:rsidRDefault="00837E97" w:rsidP="00837E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Observación</w:t>
                  </w:r>
                </w:p>
              </w:tc>
            </w:tr>
            <w:tr w:rsidR="00837E97" w:rsidRPr="00837E97" w14:paraId="5FC32525" w14:textId="77777777" w:rsidTr="00837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DCC23B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Impuesto Predial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41FE2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218.274.780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801C3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218.274.780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85574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COINCIDEN – OK</w:t>
                  </w:r>
                </w:p>
              </w:tc>
            </w:tr>
            <w:tr w:rsidR="00837E97" w:rsidRPr="00837E97" w14:paraId="0F6A9A2E" w14:textId="77777777" w:rsidTr="00837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4ECC2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Fiscalización/</w:t>
                  </w:r>
                  <w:proofErr w:type="spellStart"/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Auditaje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BB309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52.389.673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00A9B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52.389.673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3A7D6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COINCIDEN – OK</w:t>
                  </w:r>
                </w:p>
              </w:tc>
            </w:tr>
            <w:tr w:rsidR="00837E97" w:rsidRPr="00837E97" w14:paraId="2B115475" w14:textId="77777777" w:rsidTr="00837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A99D99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FA39E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13.197.800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49E3F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13.253.000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7930D" w14:textId="77777777" w:rsidR="00837E97" w:rsidRPr="00837E97" w:rsidRDefault="00837E97" w:rsidP="00837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37E9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Diferencia menor → revisar devengo</w:t>
                  </w:r>
                </w:p>
              </w:tc>
            </w:tr>
          </w:tbl>
          <w:p w14:paraId="670FFE64" w14:textId="77777777" w:rsidR="002E0185" w:rsidRPr="002E0185" w:rsidRDefault="002E0185" w:rsidP="002E0185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0185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Existen cuentas reportadas hacia la Promotora que la Promotora NO reporta</w:t>
            </w:r>
          </w:p>
          <w:p w14:paraId="6B9F31BF" w14:textId="77777777" w:rsidR="002E0185" w:rsidRPr="002E0185" w:rsidRDefault="002E0185" w:rsidP="002E018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Ejemplo:</w:t>
            </w:r>
          </w:p>
          <w:p w14:paraId="55444A0C" w14:textId="77777777" w:rsidR="002E0185" w:rsidRPr="002E0185" w:rsidRDefault="002E0185" w:rsidP="002E0185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EMPRESAS PÚBLICAS SOCIETARIAS → Manizales (3.996 millones)</w:t>
            </w:r>
          </w:p>
          <w:p w14:paraId="37D98A4C" w14:textId="77777777" w:rsidR="002E0185" w:rsidRPr="002E0185" w:rsidRDefault="002E0185" w:rsidP="002E0185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PRIMAS EMITIDAS (132 millones)</w:t>
            </w:r>
          </w:p>
          <w:p w14:paraId="2F9B5A94" w14:textId="77777777" w:rsidR="002E0185" w:rsidRPr="002E0185" w:rsidRDefault="002E0185" w:rsidP="002E0185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PROMOCIÓN Y DIVULGACIÓN – CHEC (504 millones)</w:t>
            </w:r>
          </w:p>
          <w:p w14:paraId="75EEB8DA" w14:textId="77777777" w:rsidR="002E0185" w:rsidRPr="002E0185" w:rsidRDefault="002E0185" w:rsidP="002E018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Segoe UI Symbol" w:hAnsi="Segoe UI Symbol" w:cs="Segoe UI Symbol"/>
                <w:sz w:val="20"/>
                <w:szCs w:val="20"/>
              </w:rPr>
              <w:t>👉</w:t>
            </w:r>
            <w:r w:rsidRPr="002E0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185">
              <w:rPr>
                <w:rStyle w:val="Textoennegrita"/>
                <w:rFonts w:ascii="Arial" w:hAnsi="Arial" w:cs="Arial"/>
                <w:sz w:val="20"/>
                <w:szCs w:val="20"/>
              </w:rPr>
              <w:t>Ninguna aparece en el reporte de la Promotora</w:t>
            </w:r>
            <w:r w:rsidRPr="002E0185">
              <w:rPr>
                <w:rFonts w:ascii="Arial" w:hAnsi="Arial" w:cs="Arial"/>
                <w:sz w:val="20"/>
                <w:szCs w:val="20"/>
              </w:rPr>
              <w:t>, lo que indica:</w:t>
            </w:r>
          </w:p>
          <w:p w14:paraId="62368246" w14:textId="77777777" w:rsidR="002E0185" w:rsidRPr="002E0185" w:rsidRDefault="002E0185" w:rsidP="002E0185">
            <w:pPr>
              <w:pStyle w:val="NormalWeb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Diferencias de criterio de reconocimiento</w:t>
            </w:r>
          </w:p>
          <w:p w14:paraId="603093AA" w14:textId="77777777" w:rsidR="002E0185" w:rsidRPr="002E0185" w:rsidRDefault="002E0185" w:rsidP="002E0185">
            <w:pPr>
              <w:pStyle w:val="NormalWeb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Registros históricos no depurados</w:t>
            </w:r>
          </w:p>
          <w:p w14:paraId="429DD19A" w14:textId="77777777" w:rsidR="002E0185" w:rsidRPr="002E0185" w:rsidRDefault="002E0185" w:rsidP="002E0185">
            <w:pPr>
              <w:pStyle w:val="NormalWeb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E0185">
              <w:rPr>
                <w:rFonts w:ascii="Arial" w:hAnsi="Arial" w:cs="Arial"/>
                <w:sz w:val="20"/>
                <w:szCs w:val="20"/>
              </w:rPr>
              <w:t>Falta de gestión de conciliación trimestral</w:t>
            </w:r>
          </w:p>
          <w:p w14:paraId="625252F4" w14:textId="4CEA9D97" w:rsidR="00837E97" w:rsidRPr="00BF6C58" w:rsidRDefault="00BF6C58" w:rsidP="0083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6C58">
              <w:rPr>
                <w:rFonts w:ascii="Arial" w:hAnsi="Arial" w:cs="Arial"/>
                <w:b/>
                <w:sz w:val="20"/>
                <w:szCs w:val="20"/>
              </w:rPr>
              <w:t>ANÁLISIS TÉCNICO DEL CUADRO -</w:t>
            </w:r>
            <w:r w:rsidRPr="00BF6C58">
              <w:rPr>
                <w:rFonts w:ascii="Arial" w:hAnsi="Arial" w:cs="Arial"/>
                <w:b/>
                <w:sz w:val="20"/>
                <w:szCs w:val="20"/>
              </w:rPr>
              <w:t>PROCESO DE CONSOLIDACIÓN (CGN)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9"/>
              <w:gridCol w:w="1312"/>
              <w:gridCol w:w="1350"/>
              <w:gridCol w:w="1743"/>
              <w:gridCol w:w="1648"/>
              <w:gridCol w:w="1831"/>
            </w:tblGrid>
            <w:tr w:rsidR="005156C1" w:rsidRPr="00BF6C58" w14:paraId="658D7E40" w14:textId="77777777" w:rsidTr="00BF6C5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90A7B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Categoría CGN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3D086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Entidades involucradas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37539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Valor involucrado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51606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Descripción técnica de la diferencia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ACA01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Interpretación contable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482DF" w14:textId="77777777" w:rsidR="00BF6C58" w:rsidRPr="00BF6C58" w:rsidRDefault="00BF6C58" w:rsidP="00BF6C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Implicación para la Promotora</w:t>
                  </w:r>
                </w:p>
              </w:tc>
            </w:tr>
            <w:tr w:rsidR="005156C1" w:rsidRPr="00BF6C58" w14:paraId="50755A93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3143E8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Método de medición en inversiones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6C8E9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Alcaldía de Manizales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6843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$3.996.887.532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BE81B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La Alcaldía reporta saldo en Empresas Públicas Societarias; la Promotora no reporta operación recíproca.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44CBF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error. Es diferencia por medición patrimonial.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0F57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Revisión urgente de si existe inversión no reconocida o un registro incorrecto del tercero.</w:t>
                  </w:r>
                </w:p>
              </w:tc>
            </w:tr>
            <w:tr w:rsidR="005156C1" w:rsidRPr="00BF6C58" w14:paraId="230F73A0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0A7C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Diferencia eliminada vía consolidación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11FC3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CHEC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C4499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$504.201.680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0635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CHEC reporta “Promoción y Divulgación”; la Promotora no reporta.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0F96B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Eliminada automáticamente por consolidación.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D69C4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error, pero evidencia falta de conciliación.</w:t>
                  </w:r>
                </w:p>
              </w:tc>
            </w:tr>
            <w:tr w:rsidR="005156C1" w:rsidRPr="00BF6C58" w14:paraId="325AD32A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D3786D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Diferencia eliminada vía consolidación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FA30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UNE EPM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DE43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$6.354.992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8CCF3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UNE reporta “Valor Agregado”; la Promotora no reporta.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B5E3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Eliminada automáticamente por consolidación.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B53C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Debe verificarse si existió el servicio y conciliarse.</w:t>
                  </w:r>
                </w:p>
              </w:tc>
            </w:tr>
            <w:tr w:rsidR="005156C1" w:rsidRPr="00BF6C58" w14:paraId="1AB3FB63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3B71D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Momento del devengo o causación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4D0F7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DIAN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1701F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$438.635.000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7074F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Diferencia por fecha en la que se reconoce la obligación tributaria.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06EC9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error, es diferencia de oportunidad.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7166C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Ajustar políticas de devengo y conciliación con DIAN.</w:t>
                  </w:r>
                </w:p>
              </w:tc>
            </w:tr>
            <w:tr w:rsidR="005156C1" w:rsidRPr="00BF6C58" w14:paraId="6FD63EF5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FC9C1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Momento del devengo o causación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B9ADA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Banco Agrario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05757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$19.200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37CA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Comisiones registradas en momentos distintos.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1B030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11101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Puede depurarse o reclasificarse.</w:t>
                  </w:r>
                </w:p>
              </w:tc>
            </w:tr>
            <w:tr w:rsidR="005156C1" w:rsidRPr="00BF6C58" w14:paraId="525E485A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3A36EA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lastRenderedPageBreak/>
                    <w:t>Momento del devengo o causación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976D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UNE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1DD8B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$17.234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CEE7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Intereses de mora reconocidos en periodos diferentes.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63F2D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26E4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Depurar saldos residuales.</w:t>
                  </w:r>
                </w:p>
              </w:tc>
            </w:tr>
            <w:tr w:rsidR="005156C1" w:rsidRPr="00BF6C58" w14:paraId="5384BEF6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0A905F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Momento del devengo o causación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14C20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ICBF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249A1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F95C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Intereses menores registrados en momentos diferentes.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2E477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380E6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Depuración recomendada.</w:t>
                  </w:r>
                </w:p>
              </w:tc>
            </w:tr>
            <w:tr w:rsidR="005156C1" w:rsidRPr="00BF6C58" w14:paraId="6EE35A9B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9EC12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Criterio contable y normatividad vigente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5C513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Alcaldía de Manizales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628B1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$52.389.673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3F062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Alcaldía clasifica como gasto no tributario; Promotora como cuota fiscalización.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9B087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Diferencia de criterios de clasificación.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5E51D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Requiere unificación de cuenta recíproca.</w:t>
                  </w:r>
                </w:p>
              </w:tc>
            </w:tr>
            <w:tr w:rsidR="005156C1" w:rsidRPr="00BF6C58" w14:paraId="287E2F30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7DAAE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Criterio contable y normatividad vigente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D0E1D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Contraloría Municipal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364A0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$52.389.673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80BCB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Contraloría clasifica como cuota fiscalización; Promotora no reportó.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93107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No es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AC1EB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Debe registrarse en la cuenta recíproca adecuada.</w:t>
                  </w:r>
                </w:p>
              </w:tc>
            </w:tr>
            <w:tr w:rsidR="005156C1" w:rsidRPr="00BF6C58" w14:paraId="1EEB23EE" w14:textId="77777777" w:rsidTr="00BF6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E4FD9C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Criterio contable y normatividad vigente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213D9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proofErr w:type="spellStart"/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Corpocaldas</w:t>
                  </w:r>
                  <w:proofErr w:type="spellEnd"/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 xml:space="preserve"> vs Promotora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0654A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$26.435.454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AB2A8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proofErr w:type="spellStart"/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Corpocaldas</w:t>
                  </w:r>
                  <w:proofErr w:type="spellEnd"/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 xml:space="preserve"> registra arrendamiento operativo; Promotora ingresos diversos.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4AABA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Diferente criterio de clasificación.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67749" w14:textId="77777777" w:rsidR="00BF6C58" w:rsidRPr="00BF6C58" w:rsidRDefault="00BF6C58" w:rsidP="00BF6C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BF6C58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Requiere conciliación interinstitucional.</w:t>
                  </w:r>
                </w:p>
              </w:tc>
            </w:tr>
          </w:tbl>
          <w:p w14:paraId="0A85FC1D" w14:textId="19293A86" w:rsidR="002D5B59" w:rsidRDefault="002D5B59" w:rsidP="00837E97">
            <w:pP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</w:p>
          <w:p w14:paraId="61B5D979" w14:textId="4E0ED902" w:rsidR="003E31B9" w:rsidRPr="003E31B9" w:rsidRDefault="003E31B9" w:rsidP="003E31B9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El valor mayor está en </w:t>
            </w:r>
            <w:r w:rsidRPr="003E31B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inversiones patrimoniales reportadas por Manizales</w:t>
            </w: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 ($3.996 millones).</w:t>
            </w:r>
          </w:p>
          <w:p w14:paraId="2671868D" w14:textId="77777777" w:rsidR="003E31B9" w:rsidRDefault="003E31B9" w:rsidP="003E31B9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Las mayores diferencias eliminadas por consolidación provienen de </w:t>
            </w:r>
            <w:r w:rsidRPr="003E31B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CHEC</w:t>
            </w: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 ($504 millones).</w:t>
            </w:r>
          </w:p>
          <w:p w14:paraId="02A9B2E9" w14:textId="77777777" w:rsidR="003E31B9" w:rsidRDefault="003E31B9" w:rsidP="003E31B9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Promotora </w:t>
            </w:r>
            <w:r w:rsidRPr="003E31B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 reportó la mayoría de operaciones</w:t>
            </w: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 que sí reportaron terceros.</w:t>
            </w:r>
          </w:p>
          <w:p w14:paraId="7E58F7EC" w14:textId="77777777" w:rsidR="003E31B9" w:rsidRDefault="003E31B9" w:rsidP="003E31B9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Las diferencias menores (comisiones, intereses) pueden ser </w:t>
            </w:r>
            <w:r w:rsidRPr="003E31B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depuradas</w:t>
            </w: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14:paraId="36C92415" w14:textId="362C1F62" w:rsidR="003E31B9" w:rsidRPr="003E31B9" w:rsidRDefault="003E31B9" w:rsidP="003E31B9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 xml:space="preserve">Requiere fortalecimiento del proceso de conciliación </w:t>
            </w:r>
            <w:r w:rsidRPr="003E31B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mensual</w:t>
            </w:r>
            <w:r w:rsidRPr="003E31B9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14:paraId="705D7674" w14:textId="77777777" w:rsidR="00A95366" w:rsidRPr="00385DCC" w:rsidRDefault="00A95366" w:rsidP="00A95366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>Diferencias identificadas por el análisis del CHIP</w:t>
            </w:r>
          </w:p>
          <w:p w14:paraId="4C962C7D" w14:textId="77777777" w:rsidR="00A95366" w:rsidRPr="00385DCC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 xml:space="preserve">El tercer reporte presentado muestra </w:t>
            </w:r>
            <w:r w:rsidRPr="00385DCC">
              <w:rPr>
                <w:rStyle w:val="Textoennegrita"/>
                <w:rFonts w:ascii="Arial" w:hAnsi="Arial" w:cs="Arial"/>
                <w:sz w:val="20"/>
                <w:szCs w:val="20"/>
              </w:rPr>
              <w:t>cómo la CGN clasificó las diferencias</w:t>
            </w:r>
            <w:r w:rsidRPr="00385DCC">
              <w:rPr>
                <w:rFonts w:ascii="Arial" w:hAnsi="Arial" w:cs="Arial"/>
                <w:sz w:val="20"/>
                <w:szCs w:val="20"/>
              </w:rPr>
              <w:t>, lo cual permite identificar el origen real del desequilibrio.</w:t>
            </w:r>
          </w:p>
          <w:p w14:paraId="78182CAE" w14:textId="629AAE79" w:rsidR="00A95366" w:rsidRPr="00385DCC" w:rsidRDefault="00A95366" w:rsidP="00385DC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>Las diferencias se agrupan así:</w:t>
            </w:r>
          </w:p>
          <w:p w14:paraId="52770B5E" w14:textId="77777777" w:rsidR="00A95366" w:rsidRPr="00A95366" w:rsidRDefault="00A95366" w:rsidP="00A9536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A.</w:t>
            </w:r>
            <w:r w:rsidRPr="00A95366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Método de medición en inversiones</w:t>
            </w:r>
          </w:p>
          <w:p w14:paraId="3BFBEE3D" w14:textId="77777777" w:rsidR="00A95366" w:rsidRPr="00A95366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Valor:</w:t>
            </w:r>
            <w:r w:rsidRPr="00A95366">
              <w:rPr>
                <w:rFonts w:ascii="Arial" w:hAnsi="Arial" w:cs="Arial"/>
                <w:sz w:val="20"/>
                <w:szCs w:val="20"/>
              </w:rPr>
              <w:t xml:space="preserve"> $3.996.887.532</w:t>
            </w:r>
            <w:r w:rsidRPr="00A95366">
              <w:rPr>
                <w:rFonts w:ascii="Arial" w:hAnsi="Arial" w:cs="Arial"/>
                <w:sz w:val="20"/>
                <w:szCs w:val="20"/>
              </w:rPr>
              <w:br/>
            </w: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Entidad involucrada:</w:t>
            </w:r>
            <w:r w:rsidRPr="00A95366">
              <w:rPr>
                <w:rFonts w:ascii="Arial" w:hAnsi="Arial" w:cs="Arial"/>
                <w:sz w:val="20"/>
                <w:szCs w:val="20"/>
              </w:rPr>
              <w:t xml:space="preserve"> Alcaldía de Manizales</w:t>
            </w:r>
          </w:p>
          <w:p w14:paraId="4AEF72E0" w14:textId="77777777" w:rsidR="00A95366" w:rsidRPr="00A95366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>El CHIP muestra:</w:t>
            </w:r>
          </w:p>
          <w:p w14:paraId="5F16D79C" w14:textId="77777777" w:rsidR="00A95366" w:rsidRPr="00A95366" w:rsidRDefault="00A95366" w:rsidP="00A95366">
            <w:pPr>
              <w:pStyle w:val="NormalWeb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>La Alcaldía reporta un saldo en Empresas Públicas Societarias.</w:t>
            </w:r>
          </w:p>
          <w:p w14:paraId="0A5A6C84" w14:textId="77777777" w:rsidR="00A95366" w:rsidRPr="00A95366" w:rsidRDefault="00A95366" w:rsidP="00A95366">
            <w:pPr>
              <w:pStyle w:val="NormalWeb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 xml:space="preserve">La Promotora </w:t>
            </w: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NO reportó nada</w:t>
            </w:r>
            <w:r w:rsidRPr="00A95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01CC8F" w14:textId="77777777" w:rsidR="00A95366" w:rsidRPr="00A95366" w:rsidRDefault="00A95366" w:rsidP="00A95366">
            <w:pPr>
              <w:pStyle w:val="NormalWeb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 xml:space="preserve">El sistema clasifica como </w:t>
            </w: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ajuste por mayor valor de inversión</w:t>
            </w:r>
            <w:r w:rsidRPr="00A95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70C5CE" w14:textId="77777777" w:rsidR="00A90E5F" w:rsidRPr="00A95366" w:rsidRDefault="00A90E5F" w:rsidP="00A90E5F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</w:p>
          <w:p w14:paraId="4857805D" w14:textId="0FC6B4C8" w:rsidR="00A95366" w:rsidRPr="00A95366" w:rsidRDefault="00A95366" w:rsidP="00A9536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B.</w:t>
            </w:r>
            <w:r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A95366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Momento del devengo o causación</w:t>
            </w:r>
          </w:p>
          <w:p w14:paraId="5FE4425B" w14:textId="77777777" w:rsidR="00A95366" w:rsidRPr="00A95366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Casos:</w:t>
            </w:r>
            <w:r w:rsidRPr="00A95366">
              <w:rPr>
                <w:rFonts w:ascii="Arial" w:hAnsi="Arial" w:cs="Arial"/>
                <w:sz w:val="20"/>
                <w:szCs w:val="20"/>
              </w:rPr>
              <w:t xml:space="preserve"> DIAN, Banco Agrario, UNE, ICBF</w:t>
            </w:r>
            <w:r w:rsidRPr="00A95366">
              <w:rPr>
                <w:rFonts w:ascii="Arial" w:hAnsi="Arial" w:cs="Arial"/>
                <w:sz w:val="20"/>
                <w:szCs w:val="20"/>
              </w:rPr>
              <w:br/>
            </w:r>
            <w:r w:rsidRPr="00A95366">
              <w:rPr>
                <w:rStyle w:val="Textoennegrita"/>
                <w:rFonts w:ascii="Arial" w:hAnsi="Arial" w:cs="Arial"/>
                <w:sz w:val="20"/>
                <w:szCs w:val="20"/>
              </w:rPr>
              <w:t>Valor aproximado:</w:t>
            </w:r>
            <w:r w:rsidRPr="00A95366">
              <w:rPr>
                <w:rFonts w:ascii="Arial" w:hAnsi="Arial" w:cs="Arial"/>
                <w:sz w:val="20"/>
                <w:szCs w:val="20"/>
              </w:rPr>
              <w:t xml:space="preserve"> $455 millones</w:t>
            </w:r>
          </w:p>
          <w:p w14:paraId="52D27D57" w14:textId="77777777" w:rsidR="00A95366" w:rsidRPr="00A95366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>Indica que las entidades registraron la operación en fechas diferentes, aunque válidas.</w:t>
            </w:r>
          </w:p>
          <w:p w14:paraId="701F5C1A" w14:textId="77777777" w:rsidR="00A95366" w:rsidRDefault="00A95366" w:rsidP="00A9536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366">
              <w:rPr>
                <w:rFonts w:ascii="Arial" w:hAnsi="Arial" w:cs="Arial"/>
                <w:sz w:val="20"/>
                <w:szCs w:val="20"/>
              </w:rPr>
              <w:t>No es error, pero sí un desfase de oportunidad contable.</w:t>
            </w:r>
          </w:p>
          <w:p w14:paraId="50BD94F5" w14:textId="77777777" w:rsidR="00E02F7E" w:rsidRPr="00E02F7E" w:rsidRDefault="00E02F7E" w:rsidP="00E02F7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C</w:t>
            </w:r>
            <w:r w:rsidRPr="00E02F7E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 Criterio contable y normatividad vigente</w:t>
            </w:r>
          </w:p>
          <w:p w14:paraId="140849AE" w14:textId="77777777" w:rsidR="00E02F7E" w:rsidRPr="00E02F7E" w:rsidRDefault="00E02F7E" w:rsidP="00E02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02F7E">
              <w:rPr>
                <w:rStyle w:val="Textoennegrita"/>
                <w:rFonts w:ascii="Arial" w:hAnsi="Arial" w:cs="Arial"/>
                <w:sz w:val="20"/>
                <w:szCs w:val="20"/>
              </w:rPr>
              <w:t>Casos:</w:t>
            </w:r>
            <w:r w:rsidRPr="00E02F7E">
              <w:rPr>
                <w:rFonts w:ascii="Arial" w:hAnsi="Arial" w:cs="Arial"/>
                <w:sz w:val="20"/>
                <w:szCs w:val="20"/>
              </w:rPr>
              <w:t xml:space="preserve"> Manizales, Contraloría Municipal, </w:t>
            </w:r>
            <w:proofErr w:type="spellStart"/>
            <w:r w:rsidRPr="00E02F7E">
              <w:rPr>
                <w:rFonts w:ascii="Arial" w:hAnsi="Arial" w:cs="Arial"/>
                <w:sz w:val="20"/>
                <w:szCs w:val="20"/>
              </w:rPr>
              <w:t>Corpocaldas</w:t>
            </w:r>
            <w:proofErr w:type="spellEnd"/>
            <w:r w:rsidRPr="00E02F7E">
              <w:rPr>
                <w:rFonts w:ascii="Arial" w:hAnsi="Arial" w:cs="Arial"/>
                <w:sz w:val="20"/>
                <w:szCs w:val="20"/>
              </w:rPr>
              <w:br/>
            </w:r>
            <w:r w:rsidRPr="00E02F7E">
              <w:rPr>
                <w:rStyle w:val="Textoennegrita"/>
                <w:rFonts w:ascii="Arial" w:hAnsi="Arial" w:cs="Arial"/>
                <w:sz w:val="20"/>
                <w:szCs w:val="20"/>
              </w:rPr>
              <w:t>Valor involucrado:</w:t>
            </w:r>
            <w:r w:rsidRPr="00E02F7E">
              <w:rPr>
                <w:rFonts w:ascii="Arial" w:hAnsi="Arial" w:cs="Arial"/>
                <w:sz w:val="20"/>
                <w:szCs w:val="20"/>
              </w:rPr>
              <w:t xml:space="preserve"> $52.389.673 + $52.389.673 + $26.435.454</w:t>
            </w:r>
          </w:p>
          <w:p w14:paraId="1CFF676A" w14:textId="77777777" w:rsidR="00E02F7E" w:rsidRPr="00E02F7E" w:rsidRDefault="00E02F7E" w:rsidP="00E02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02F7E">
              <w:rPr>
                <w:rFonts w:ascii="Arial" w:hAnsi="Arial" w:cs="Arial"/>
                <w:sz w:val="20"/>
                <w:szCs w:val="20"/>
              </w:rPr>
              <w:t>Significa que:</w:t>
            </w:r>
          </w:p>
          <w:p w14:paraId="0D2F00C3" w14:textId="77777777" w:rsidR="00E02F7E" w:rsidRPr="00E02F7E" w:rsidRDefault="00E02F7E" w:rsidP="00E02F7E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02F7E">
              <w:rPr>
                <w:rFonts w:ascii="Arial" w:hAnsi="Arial" w:cs="Arial"/>
                <w:sz w:val="20"/>
                <w:szCs w:val="20"/>
              </w:rPr>
              <w:t>Cada entidad usó una cuenta diferente del catálogo CGN.</w:t>
            </w:r>
          </w:p>
          <w:p w14:paraId="5F3CF59B" w14:textId="77777777" w:rsidR="00E02F7E" w:rsidRPr="00E02F7E" w:rsidRDefault="00E02F7E" w:rsidP="00E02F7E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02F7E">
              <w:rPr>
                <w:rFonts w:ascii="Arial" w:hAnsi="Arial" w:cs="Arial"/>
                <w:sz w:val="20"/>
                <w:szCs w:val="20"/>
              </w:rPr>
              <w:t>NO es error contable, pero sí falta de conciliación y unificación de criterios.</w:t>
            </w:r>
          </w:p>
          <w:p w14:paraId="21AD6D92" w14:textId="77777777" w:rsidR="00385DCC" w:rsidRPr="00385DCC" w:rsidRDefault="00385DCC" w:rsidP="00385DC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D</w:t>
            </w:r>
            <w:r w:rsidRPr="00385DCC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 Diferencias eliminadas vía proceso de consolidación</w:t>
            </w:r>
          </w:p>
          <w:p w14:paraId="15513037" w14:textId="77777777" w:rsidR="00385DCC" w:rsidRPr="00385DCC" w:rsidRDefault="00385DCC" w:rsidP="00385DC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Style w:val="Textoennegrita"/>
                <w:rFonts w:ascii="Arial" w:hAnsi="Arial" w:cs="Arial"/>
                <w:sz w:val="20"/>
                <w:szCs w:val="20"/>
              </w:rPr>
              <w:t>Casos:</w:t>
            </w:r>
            <w:r w:rsidRPr="00385DCC">
              <w:rPr>
                <w:rFonts w:ascii="Arial" w:hAnsi="Arial" w:cs="Arial"/>
                <w:sz w:val="20"/>
                <w:szCs w:val="20"/>
              </w:rPr>
              <w:t xml:space="preserve"> CHEC ($504 millones) y UNE ($6 millones)**</w:t>
            </w:r>
          </w:p>
          <w:p w14:paraId="66B36DF8" w14:textId="77777777" w:rsidR="00385DCC" w:rsidRPr="00385DCC" w:rsidRDefault="00385DCC" w:rsidP="00385DC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>La CGN elimina automáticamente la diferencia.</w:t>
            </w:r>
          </w:p>
          <w:p w14:paraId="0C8EA195" w14:textId="77777777" w:rsidR="00385DCC" w:rsidRPr="00385DCC" w:rsidRDefault="00385DCC" w:rsidP="00385DC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Segoe UI Symbol" w:hAnsi="Segoe UI Symbol" w:cs="Segoe UI Symbol"/>
                <w:sz w:val="20"/>
                <w:szCs w:val="20"/>
              </w:rPr>
              <w:t>📌</w:t>
            </w:r>
            <w:r w:rsidRPr="00385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5DCC">
              <w:rPr>
                <w:rStyle w:val="Textoennegrita"/>
                <w:rFonts w:ascii="Arial" w:hAnsi="Arial" w:cs="Arial"/>
                <w:sz w:val="20"/>
                <w:szCs w:val="20"/>
              </w:rPr>
              <w:t>Esto NO es error contable</w:t>
            </w:r>
            <w:r w:rsidRPr="00385DCC">
              <w:rPr>
                <w:rFonts w:ascii="Arial" w:hAnsi="Arial" w:cs="Arial"/>
                <w:sz w:val="20"/>
                <w:szCs w:val="20"/>
              </w:rPr>
              <w:t>, pero sí evidencia que:</w:t>
            </w:r>
          </w:p>
          <w:p w14:paraId="56D9867A" w14:textId="77777777" w:rsidR="00385DCC" w:rsidRPr="00385DCC" w:rsidRDefault="00385DCC" w:rsidP="00385DCC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>El tercero SÍ reportó</w:t>
            </w:r>
          </w:p>
          <w:p w14:paraId="7208DCBF" w14:textId="77777777" w:rsidR="00385DCC" w:rsidRPr="00385DCC" w:rsidRDefault="00385DCC" w:rsidP="00385DCC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>La Promotora NO reportó</w:t>
            </w:r>
          </w:p>
          <w:p w14:paraId="590970D7" w14:textId="77777777" w:rsidR="00385DCC" w:rsidRDefault="00385DCC" w:rsidP="00385DCC">
            <w:pPr>
              <w:pStyle w:val="NormalWeb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85DCC">
              <w:rPr>
                <w:rFonts w:ascii="Arial" w:hAnsi="Arial" w:cs="Arial"/>
                <w:sz w:val="20"/>
                <w:szCs w:val="20"/>
              </w:rPr>
              <w:t>Hubo falta de conciliación previa</w:t>
            </w:r>
          </w:p>
          <w:p w14:paraId="6B9E8FD5" w14:textId="77777777" w:rsidR="00E51274" w:rsidRPr="00E51274" w:rsidRDefault="00E51274" w:rsidP="00E5127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E</w:t>
            </w:r>
            <w:r w:rsidRPr="00E51274">
              <w:rPr>
                <w:rStyle w:val="Textoennegrit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 Inconsistencias en reporte y registros contables</w:t>
            </w:r>
          </w:p>
          <w:p w14:paraId="3D00C2DC" w14:textId="77777777" w:rsidR="00E51274" w:rsidRPr="00E51274" w:rsidRDefault="00E51274" w:rsidP="00E5127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51274">
              <w:rPr>
                <w:rStyle w:val="Textoennegrita"/>
                <w:rFonts w:ascii="Arial" w:hAnsi="Arial" w:cs="Arial"/>
                <w:sz w:val="20"/>
                <w:szCs w:val="20"/>
              </w:rPr>
              <w:t>Resultado:</w:t>
            </w:r>
            <w:r w:rsidRPr="00E51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274">
              <w:rPr>
                <w:rStyle w:val="Textoennegrita"/>
                <w:rFonts w:ascii="Arial" w:hAnsi="Arial" w:cs="Arial"/>
                <w:sz w:val="20"/>
                <w:szCs w:val="20"/>
              </w:rPr>
              <w:t>NO SE IDENTIFICARON</w:t>
            </w:r>
            <w:r w:rsidRPr="00E51274">
              <w:rPr>
                <w:rFonts w:ascii="Arial" w:hAnsi="Arial" w:cs="Arial"/>
                <w:sz w:val="20"/>
                <w:szCs w:val="20"/>
              </w:rPr>
              <w:t xml:space="preserve"> (cuadro vacío).</w:t>
            </w:r>
          </w:p>
          <w:p w14:paraId="61403BB9" w14:textId="77777777" w:rsidR="00E51274" w:rsidRPr="00E51274" w:rsidRDefault="00E51274" w:rsidP="00E5127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51274">
              <w:rPr>
                <w:rFonts w:ascii="Segoe UI Symbol" w:hAnsi="Segoe UI Symbol" w:cs="Segoe UI Symbol"/>
                <w:sz w:val="20"/>
                <w:szCs w:val="20"/>
              </w:rPr>
              <w:t>📌</w:t>
            </w:r>
            <w:r w:rsidRPr="00E51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274">
              <w:rPr>
                <w:rStyle w:val="Textoennegrita"/>
                <w:rFonts w:ascii="Arial" w:hAnsi="Arial" w:cs="Arial"/>
                <w:sz w:val="20"/>
                <w:szCs w:val="20"/>
              </w:rPr>
              <w:t>Esto confirma que NO existen errores contables formales.</w:t>
            </w:r>
          </w:p>
          <w:p w14:paraId="15BB22DE" w14:textId="77777777" w:rsidR="00385DCC" w:rsidRPr="00023C44" w:rsidRDefault="00385DCC" w:rsidP="00385DCC">
            <w:pPr>
              <w:pStyle w:val="NormalWeb"/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14:paraId="16EB9E8F" w14:textId="77777777" w:rsidR="00023C44" w:rsidRDefault="00023C44" w:rsidP="00023C44">
            <w:pPr>
              <w:pStyle w:val="Ttulo1"/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</w:pPr>
            <w:r w:rsidRPr="00023C44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023C44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 xml:space="preserve"> de Auditoría Interna</w:t>
            </w:r>
          </w:p>
          <w:p w14:paraId="4C4CA939" w14:textId="1DDE8BDE" w:rsidR="00023C44" w:rsidRPr="00023C44" w:rsidRDefault="00023C44" w:rsidP="00023C44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>Observación</w:t>
            </w:r>
            <w:r w:rsidRPr="00023C44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 xml:space="preserve"> 1 – Ausencia de conciliación en operaciones recíprocas significativas</w:t>
            </w:r>
          </w:p>
          <w:p w14:paraId="349B49B7" w14:textId="2C420497" w:rsidR="00023C44" w:rsidRPr="00023C44" w:rsidRDefault="00023C44" w:rsidP="00B85DF6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C44">
              <w:rPr>
                <w:rFonts w:ascii="Arial" w:hAnsi="Arial" w:cs="Arial"/>
                <w:sz w:val="20"/>
                <w:szCs w:val="20"/>
              </w:rPr>
              <w:lastRenderedPageBreak/>
              <w:t>La Promotora no reportó varias operaciones que terceros sí reportaron (CHEC, UNE, Manizales).</w:t>
            </w:r>
            <w:r w:rsidRPr="00023C44">
              <w:rPr>
                <w:rFonts w:ascii="Arial" w:hAnsi="Arial" w:cs="Arial"/>
                <w:sz w:val="20"/>
                <w:szCs w:val="20"/>
              </w:rPr>
              <w:br/>
              <w:t xml:space="preserve">Esto genera diferencias de más de </w:t>
            </w:r>
            <w:r w:rsidRPr="00023C44">
              <w:rPr>
                <w:rStyle w:val="Textoennegrita"/>
                <w:rFonts w:ascii="Arial" w:hAnsi="Arial" w:cs="Arial"/>
                <w:sz w:val="20"/>
                <w:szCs w:val="20"/>
              </w:rPr>
              <w:t>$5.000 millones</w:t>
            </w:r>
            <w:r w:rsidRPr="00023C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67CE3E" w14:textId="0BD389BC" w:rsidR="00023C44" w:rsidRPr="00023C44" w:rsidRDefault="00023C44" w:rsidP="00023C4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Observación</w:t>
            </w: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 2 – Diferencias por criterio contable</w:t>
            </w:r>
          </w:p>
          <w:p w14:paraId="5D5FF56A" w14:textId="77777777" w:rsidR="00023C44" w:rsidRPr="00023C44" w:rsidRDefault="00023C44" w:rsidP="00023C4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23C44">
              <w:rPr>
                <w:rFonts w:ascii="Arial" w:hAnsi="Arial" w:cs="Arial"/>
                <w:sz w:val="20"/>
                <w:szCs w:val="20"/>
              </w:rPr>
              <w:t>Varias operaciones están registradas por terceros en cuentas distintas a las utilizadas por la Promotora.</w:t>
            </w:r>
          </w:p>
          <w:p w14:paraId="30427C1C" w14:textId="23091F5C" w:rsidR="00023C44" w:rsidRPr="00023C44" w:rsidRDefault="00023C44" w:rsidP="00023C44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Observación</w:t>
            </w: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 3 – Diferencias por moment</w:t>
            </w: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o</w:t>
            </w: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 o del devengo</w:t>
            </w:r>
          </w:p>
          <w:p w14:paraId="01A01A0A" w14:textId="77777777" w:rsidR="00023C44" w:rsidRPr="00023C44" w:rsidRDefault="00023C44" w:rsidP="00023C4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23C44">
              <w:rPr>
                <w:rFonts w:ascii="Arial" w:hAnsi="Arial" w:cs="Arial"/>
                <w:sz w:val="20"/>
                <w:szCs w:val="20"/>
              </w:rPr>
              <w:t>DIAN, UNE, Banco Agrario e ICBF presentan diferencias derivadas del momento de causación.</w:t>
            </w:r>
          </w:p>
          <w:p w14:paraId="68EBC947" w14:textId="446F329F" w:rsidR="00023C44" w:rsidRPr="00023C44" w:rsidRDefault="00023C44" w:rsidP="00023C44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>Observación</w:t>
            </w:r>
            <w:r w:rsidRPr="00023C44">
              <w:rPr>
                <w:rStyle w:val="Textoennegrita"/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 4 – Inversiones sin reconocimiento</w:t>
            </w:r>
          </w:p>
          <w:p w14:paraId="38958CAC" w14:textId="77777777" w:rsidR="00023C44" w:rsidRPr="00023C44" w:rsidRDefault="00023C44" w:rsidP="00023C4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3C44">
              <w:rPr>
                <w:rFonts w:ascii="Arial" w:hAnsi="Arial" w:cs="Arial"/>
                <w:sz w:val="20"/>
                <w:szCs w:val="20"/>
              </w:rPr>
              <w:t xml:space="preserve">Existe un reporte de la Alcaldía de Manizales por </w:t>
            </w:r>
            <w:r w:rsidRPr="00023C44">
              <w:rPr>
                <w:rStyle w:val="Textoennegrita"/>
                <w:rFonts w:ascii="Arial" w:hAnsi="Arial" w:cs="Arial"/>
                <w:sz w:val="20"/>
                <w:szCs w:val="20"/>
              </w:rPr>
              <w:t>$3.996 millones</w:t>
            </w:r>
            <w:r w:rsidRPr="00023C44">
              <w:rPr>
                <w:rFonts w:ascii="Arial" w:hAnsi="Arial" w:cs="Arial"/>
                <w:sz w:val="20"/>
                <w:szCs w:val="20"/>
              </w:rPr>
              <w:t>, clasificado por la CGN como valor patrimonial, que no coincide con los registros internos de la Promotora.</w:t>
            </w:r>
          </w:p>
          <w:p w14:paraId="0E7C0C97" w14:textId="77777777" w:rsidR="005156C1" w:rsidRPr="005156C1" w:rsidRDefault="005156C1" w:rsidP="005156C1">
            <w:pPr>
              <w:pStyle w:val="Ttulo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Style w:val="Textoennegrita"/>
                <w:rFonts w:ascii="Arial" w:hAnsi="Arial" w:cs="Arial"/>
                <w:b/>
                <w:bCs/>
                <w:sz w:val="20"/>
                <w:szCs w:val="20"/>
              </w:rPr>
              <w:t>CONCLUSIONES AJUSTADAS – INFORME DE OPERACIONES RECÍPROCAS (III TRIMESTRE 2025)</w:t>
            </w:r>
          </w:p>
          <w:p w14:paraId="71DE3112" w14:textId="239E9C42" w:rsidR="005156C1" w:rsidRDefault="005156C1" w:rsidP="005156C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No se identificaron inconsistencias contables formales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en el Sistema CHIP (hoja “Inconsistencias en reporte y registros contables”), lo cual indica que no existen errores técnicos en el registro de las operaciones según los parámetros de la CGN.</w:t>
            </w:r>
          </w:p>
          <w:p w14:paraId="1C47D10D" w14:textId="77777777" w:rsidR="005156C1" w:rsidRDefault="005156C1" w:rsidP="00515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689B3B" w14:textId="77777777" w:rsidR="005156C1" w:rsidRDefault="005156C1" w:rsidP="005156C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Sin embargo, el análisis detallado evidencia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diferencias significativas entre los saldos reportados por terceros hacia la Promotora y los saldos reportados por la entidad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, superando los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$5.000 millones</w:t>
            </w:r>
            <w:r w:rsidRPr="005156C1">
              <w:rPr>
                <w:rFonts w:ascii="Arial" w:hAnsi="Arial" w:cs="Arial"/>
                <w:sz w:val="20"/>
                <w:szCs w:val="20"/>
              </w:rPr>
              <w:t>, lo cual representa un riesgo relevante en materia de conciliación y revelación de información financiera.</w:t>
            </w:r>
          </w:p>
          <w:p w14:paraId="1A14C993" w14:textId="77777777" w:rsidR="005156C1" w:rsidRDefault="005156C1" w:rsidP="005156C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1840E" w14:textId="6717E0B7" w:rsidR="005156C1" w:rsidRPr="005156C1" w:rsidRDefault="005156C1" w:rsidP="005156C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Se identificaron múltiples casos en los que la Promotora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no reportó oportunamente operaciones recíprocas que terceros sí informaron</w:t>
            </w:r>
            <w:r w:rsidRPr="005156C1">
              <w:rPr>
                <w:rFonts w:ascii="Arial" w:hAnsi="Arial" w:cs="Arial"/>
                <w:sz w:val="20"/>
                <w:szCs w:val="20"/>
              </w:rPr>
              <w:t>, lo cual genera diferencias clasificadas por el CHIP como:</w:t>
            </w:r>
          </w:p>
          <w:p w14:paraId="1DF3FB62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“Diferencia eliminada vía consolidación”</w:t>
            </w:r>
          </w:p>
          <w:p w14:paraId="33FFA077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“Criterio contable y normatividad vigente”</w:t>
            </w:r>
          </w:p>
          <w:p w14:paraId="70BBC21B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“Método de medición en inversiones”</w:t>
            </w:r>
          </w:p>
          <w:p w14:paraId="6E126D95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“Momento del devengo o causación”</w:t>
            </w:r>
          </w:p>
          <w:p w14:paraId="6C6BDAE0" w14:textId="77777777" w:rsidR="005156C1" w:rsidRDefault="005156C1" w:rsidP="005156C1">
            <w:pPr>
              <w:pStyle w:val="NormalWeb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Estas situaciones reflejan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falta de alineación en los tiempos de registro, ausencia de conciliación previa al cargue</w:t>
            </w:r>
            <w:r w:rsidRPr="005156C1">
              <w:rPr>
                <w:rFonts w:ascii="Arial" w:hAnsi="Arial" w:cs="Arial"/>
                <w:sz w:val="20"/>
                <w:szCs w:val="20"/>
              </w:rPr>
              <w:t>, y falta de uniformidad en el reporte de las operaciones interinstitucionales.</w:t>
            </w:r>
          </w:p>
          <w:p w14:paraId="0CE503D2" w14:textId="00B8BDAA" w:rsidR="005156C1" w:rsidRPr="005156C1" w:rsidRDefault="005156C1" w:rsidP="005156C1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Adicionalmente, se evidencian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registros no reconocidos por la Promotora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—casos en los que entidades externas reportan valores asociados a la Promotora, pero dichos saldos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no existen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en los libros contables de la entidad. Entre ellos se encuentran:</w:t>
            </w:r>
          </w:p>
          <w:p w14:paraId="48D05951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Inversión o participación patrimonial reportada por la Alcaldía de Manizales (≈ $3.996 millones),</w:t>
            </w:r>
          </w:p>
          <w:p w14:paraId="7BFF63F2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Promoción y Divulgación reportada por CHEC (≈ $504 millones),</w:t>
            </w:r>
          </w:p>
          <w:p w14:paraId="0FAA2DDB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Valor Agregado reportado por UNE,</w:t>
            </w:r>
          </w:p>
          <w:p w14:paraId="0EADF69D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>Comisiones del Banco Agrario,</w:t>
            </w:r>
          </w:p>
          <w:p w14:paraId="42DAA686" w14:textId="77777777" w:rsidR="005156C1" w:rsidRPr="005156C1" w:rsidRDefault="005156C1" w:rsidP="005156C1">
            <w:pPr>
              <w:pStyle w:val="NormalWeb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lastRenderedPageBreak/>
              <w:t>Intereses de mora informados por UNE e ICBF.</w:t>
            </w:r>
          </w:p>
          <w:p w14:paraId="65DF0485" w14:textId="77777777" w:rsidR="005156C1" w:rsidRDefault="005156C1" w:rsidP="005156C1">
            <w:pPr>
              <w:pStyle w:val="NormalWeb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Estas operaciones no constituyen errores contables, pero sí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faltas de reconocimiento, verificación o depuración</w:t>
            </w:r>
            <w:r w:rsidRPr="005156C1">
              <w:rPr>
                <w:rFonts w:ascii="Arial" w:hAnsi="Arial" w:cs="Arial"/>
                <w:sz w:val="20"/>
                <w:szCs w:val="20"/>
              </w:rPr>
              <w:t>, que deben ser gestionadas mediante certificación del tercero y revisión documental.</w:t>
            </w:r>
          </w:p>
          <w:p w14:paraId="341FE143" w14:textId="77777777" w:rsidR="005156C1" w:rsidRDefault="005156C1" w:rsidP="005156C1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Las diferencias clasificadas por la CGN como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“criterio contable y normatividad vigente”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evidencian que las entidades involucradas utilizaron cuentas distintas para registrar la misma operación, sin que ello constituya un error; sin embargo, demuestra una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falta de estandarización y alineación contable entre las entidades</w:t>
            </w:r>
            <w:r w:rsidRPr="005156C1">
              <w:rPr>
                <w:rFonts w:ascii="Arial" w:hAnsi="Arial" w:cs="Arial"/>
                <w:sz w:val="20"/>
                <w:szCs w:val="20"/>
              </w:rPr>
              <w:t>, lo que limita la trazabilidad de las obligaciones recíprocas.</w:t>
            </w:r>
          </w:p>
          <w:p w14:paraId="2DB76F81" w14:textId="77777777" w:rsidR="005156C1" w:rsidRDefault="005156C1" w:rsidP="005156C1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502414" w14:textId="4611A36D" w:rsidR="005156C1" w:rsidRPr="005156C1" w:rsidRDefault="005156C1" w:rsidP="005156C1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Las diferencias por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“momento del devengo o causación”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muestran que algunas entidades registraron las operaciones en periodos distintos a los utilizados por la Promotora. Aunque técnicamente es válido, refleja ausencia de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coordinación interinstitucional</w:t>
            </w:r>
            <w:r w:rsidRPr="005156C1">
              <w:rPr>
                <w:rFonts w:ascii="Arial" w:hAnsi="Arial" w:cs="Arial"/>
                <w:sz w:val="20"/>
                <w:szCs w:val="20"/>
              </w:rPr>
              <w:t xml:space="preserve"> y afecta la consistencia temporal de la información reportada al CHIP.</w:t>
            </w:r>
          </w:p>
          <w:p w14:paraId="39748C6D" w14:textId="23D040AB" w:rsidR="00AA5DEE" w:rsidRPr="002A7412" w:rsidRDefault="005156C1" w:rsidP="002A7412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6C1">
              <w:rPr>
                <w:rFonts w:ascii="Arial" w:hAnsi="Arial" w:cs="Arial"/>
                <w:sz w:val="20"/>
                <w:szCs w:val="20"/>
              </w:rPr>
              <w:t xml:space="preserve">En conclusión, aunque la Promotora no presenta errores contables, </w:t>
            </w:r>
            <w:r w:rsidRPr="005156C1">
              <w:rPr>
                <w:rStyle w:val="Textoennegrita"/>
                <w:rFonts w:ascii="Arial" w:hAnsi="Arial" w:cs="Arial"/>
                <w:sz w:val="20"/>
                <w:szCs w:val="20"/>
              </w:rPr>
              <w:t>sí presenta debilidades en el proceso de conciliación, reconocimiento y reporte oportuno de operaciones recíprocas</w:t>
            </w:r>
            <w:r w:rsidRPr="005156C1">
              <w:rPr>
                <w:rFonts w:ascii="Arial" w:hAnsi="Arial" w:cs="Arial"/>
                <w:sz w:val="20"/>
                <w:szCs w:val="20"/>
              </w:rPr>
              <w:t>, lo cual debe ser corregido mediante un plan de acción que incluya: conciliaciones periódicas, depuración de saldos, solicitud de certificaciones, revisión de políticas contables y fortalecimiento del control interno contable.</w:t>
            </w:r>
          </w:p>
          <w:p w14:paraId="3AD9C011" w14:textId="77777777" w:rsidR="00AA5DEE" w:rsidRDefault="00AA5DEE" w:rsidP="00E92C7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3AC988F7" w14:textId="77777777" w:rsidR="00E92C77" w:rsidRPr="00E92C77" w:rsidRDefault="00E92C77" w:rsidP="00E92C7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E92C77">
              <w:rPr>
                <w:b/>
                <w:bCs/>
                <w:sz w:val="20"/>
                <w:szCs w:val="20"/>
              </w:rPr>
              <w:t xml:space="preserve">ADMINISTRACIÓN DE RIESGOS </w:t>
            </w:r>
          </w:p>
          <w:p w14:paraId="6E154877" w14:textId="77777777" w:rsidR="00E92C77" w:rsidRDefault="00E92C77" w:rsidP="00E92C77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DD0E412" w14:textId="4BCB8D9D" w:rsidR="00E92C77" w:rsidRPr="00D66AD1" w:rsidRDefault="005156C1" w:rsidP="00E92C77">
            <w:pPr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V</w:t>
            </w:r>
            <w:r w:rsidR="00E92C77" w:rsidRPr="00E92C77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erificados los Riesgos de Gestión del proceso </w:t>
            </w:r>
            <w:r w:rsidR="00E92C77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de Gestión Financiera</w:t>
            </w:r>
            <w:r w:rsidR="00E92C77" w:rsidRPr="00E92C77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 no se encuentra asociado ningún riesgo sobre saldos por conciliar de Operaciones Recíprocas, situación que se puede materializar al no poder realizar el cruce y conciliación de los saldos recíprocos con otras entidades públicas que no permitan efectuar el proceso de consolidación adelantado por la Contaduría General de la Nación</w:t>
            </w:r>
          </w:p>
        </w:tc>
      </w:tr>
    </w:tbl>
    <w:p w14:paraId="280E74D4" w14:textId="77777777" w:rsidR="002A7412" w:rsidRDefault="002A7412"/>
    <w:p w14:paraId="4DA49F90" w14:textId="77777777" w:rsidR="002A7412" w:rsidRDefault="002A7412"/>
    <w:p w14:paraId="3F8A3A25" w14:textId="77777777" w:rsidR="002A7412" w:rsidRDefault="002A7412"/>
    <w:p w14:paraId="34E56752" w14:textId="77777777" w:rsidR="002A7412" w:rsidRDefault="002A7412"/>
    <w:p w14:paraId="5FB9925F" w14:textId="77777777" w:rsidR="002A7412" w:rsidRDefault="002A7412"/>
    <w:p w14:paraId="6D3141B1" w14:textId="77777777" w:rsidR="002A7412" w:rsidRDefault="002A7412"/>
    <w:p w14:paraId="15B214D2" w14:textId="77777777" w:rsidR="002A7412" w:rsidRDefault="002A7412"/>
    <w:p w14:paraId="6BD576F5" w14:textId="77777777" w:rsidR="002A7412" w:rsidRDefault="002A7412"/>
    <w:p w14:paraId="77417775" w14:textId="77777777" w:rsidR="002A7412" w:rsidRDefault="002A7412"/>
    <w:p w14:paraId="2590B76B" w14:textId="77777777" w:rsidR="002A7412" w:rsidRDefault="002A7412"/>
    <w:tbl>
      <w:tblPr>
        <w:tblpPr w:leftFromText="141" w:rightFromText="141" w:vertAnchor="text" w:horzAnchor="margin" w:tblpY="86"/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37EE9" w:rsidRPr="003A79C1" w14:paraId="0949E436" w14:textId="77777777" w:rsidTr="00624C16">
        <w:trPr>
          <w:trHeight w:val="4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15C596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RECOMENDACIONES Y/O ASPECTOS POR MEJORAR</w:t>
            </w:r>
          </w:p>
        </w:tc>
      </w:tr>
      <w:tr w:rsidR="00C37EE9" w:rsidRPr="003A79C1" w14:paraId="7C742940" w14:textId="77777777" w:rsidTr="002A7412">
        <w:trPr>
          <w:trHeight w:val="451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D679" w14:textId="77777777" w:rsidR="002A7412" w:rsidRPr="002A7412" w:rsidRDefault="002A7412" w:rsidP="002A7412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s-CO"/>
              </w:rPr>
              <w:t>Recomendaciones Finales</w:t>
            </w:r>
          </w:p>
          <w:p w14:paraId="5B00898A" w14:textId="77777777" w:rsidR="002A7412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Solicitar certificación a todas las entidades que reportan saldos recíprocos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especialmente:</w:t>
            </w:r>
          </w:p>
          <w:p w14:paraId="3EA96C12" w14:textId="77777777" w:rsidR="002A7412" w:rsidRPr="002A7412" w:rsidRDefault="002A7412" w:rsidP="002A7412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Alcaldía de Manizales</w:t>
            </w:r>
          </w:p>
          <w:p w14:paraId="04A3BF77" w14:textId="77777777" w:rsidR="002A7412" w:rsidRPr="002A7412" w:rsidRDefault="002A7412" w:rsidP="002A7412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CHEC</w:t>
            </w:r>
          </w:p>
          <w:p w14:paraId="18F4F24D" w14:textId="77777777" w:rsidR="002A7412" w:rsidRPr="002A7412" w:rsidRDefault="002A7412" w:rsidP="002A7412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 Previsora</w:t>
            </w:r>
          </w:p>
          <w:p w14:paraId="0800450C" w14:textId="77777777" w:rsidR="002A7412" w:rsidRPr="002A7412" w:rsidRDefault="002A7412" w:rsidP="002A7412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UNE</w:t>
            </w:r>
          </w:p>
          <w:p w14:paraId="536C30DA" w14:textId="77777777" w:rsidR="00D349EF" w:rsidRDefault="002A7412" w:rsidP="00D349EF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Contraloría Municipal</w:t>
            </w:r>
          </w:p>
          <w:p w14:paraId="5C1CFDB5" w14:textId="789B07B0" w:rsidR="00D349EF" w:rsidRPr="00D349EF" w:rsidRDefault="00D349EF" w:rsidP="00D349EF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349E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Corporación Autónoma Regional de Caldas</w:t>
            </w:r>
            <w:r w:rsidRPr="00D349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  <w:p w14:paraId="1B8898F1" w14:textId="5F3E02A9" w:rsidR="002A7412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Realizar conciliación mensual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no solo trimestral.</w:t>
            </w:r>
          </w:p>
          <w:p w14:paraId="79CCA003" w14:textId="77777777" w:rsidR="00FC7F20" w:rsidRPr="00FC7F20" w:rsidRDefault="00FC7F20" w:rsidP="00FC7F2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Ajustar</w:t>
            </w:r>
            <w:r w:rsidR="00B85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el</w:t>
            </w:r>
            <w:r w:rsidR="002A7412"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procedimiento </w:t>
            </w: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interno </w:t>
            </w:r>
            <w:r w:rsidRPr="00FC7F20">
              <w:rPr>
                <w:b/>
              </w:rPr>
              <w:t>REGISTRO</w:t>
            </w:r>
            <w:r w:rsidRPr="00FC7F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Y CONCILIACIÓN DE OPERACIONES RECÍPROCAS</w:t>
            </w:r>
          </w:p>
          <w:p w14:paraId="1B6C2A84" w14:textId="3A239817" w:rsidR="002A7412" w:rsidRPr="002A7412" w:rsidRDefault="002A7412" w:rsidP="00FC7F2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Unificar criterios contables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con entidades que presentan diferencias por normatividad vigente.</w:t>
            </w:r>
          </w:p>
          <w:p w14:paraId="1FA7CF7D" w14:textId="77777777" w:rsidR="002A7412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Verificar la existencia de la inversión patrimonial reportada por el Municipio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(3.996 millones).</w:t>
            </w:r>
          </w:p>
          <w:p w14:paraId="03CFB778" w14:textId="77777777" w:rsidR="002A7412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Depurar saldos</w:t>
            </w:r>
            <w:bookmarkStart w:id="0" w:name="_GoBack"/>
            <w:bookmarkEnd w:id="0"/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menores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(comisiones, intereses de mora) según Resolución 533.</w:t>
            </w:r>
          </w:p>
          <w:p w14:paraId="52BE2DE4" w14:textId="77777777" w:rsidR="002A7412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Fortalecer trazabilidad documental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anexando soportes a cada operación recíproca.</w:t>
            </w:r>
          </w:p>
          <w:p w14:paraId="72C4A17D" w14:textId="79106143" w:rsidR="00C37EE9" w:rsidRPr="002A7412" w:rsidRDefault="002A7412" w:rsidP="002A741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A7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Registrar oportunamente las obligaciones tributarias y parafiscales</w:t>
            </w:r>
            <w:r w:rsidRPr="002A741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para evitar diferencias de devengo.</w:t>
            </w:r>
          </w:p>
        </w:tc>
      </w:tr>
    </w:tbl>
    <w:p w14:paraId="124683CE" w14:textId="77777777" w:rsidR="00C14B6D" w:rsidRDefault="00C14B6D"/>
    <w:tbl>
      <w:tblPr>
        <w:tblpPr w:leftFromText="141" w:rightFromText="141" w:vertAnchor="text" w:horzAnchor="margin" w:tblpY="7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7381"/>
      </w:tblGrid>
      <w:tr w:rsidR="00C37EE9" w:rsidRPr="003A79C1" w14:paraId="28EA4CA5" w14:textId="77777777" w:rsidTr="00624C16">
        <w:trPr>
          <w:trHeight w:val="37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A39726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VISTO BUENO INFORME DE AUDITORÍA INTERNA</w:t>
            </w:r>
          </w:p>
        </w:tc>
      </w:tr>
      <w:tr w:rsidR="00C37EE9" w:rsidRPr="003A79C1" w14:paraId="58506D5D" w14:textId="77777777" w:rsidTr="00390523">
        <w:trPr>
          <w:trHeight w:val="109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67D" w14:textId="6CAAA30A" w:rsidR="00C37EE9" w:rsidRPr="003A79C1" w:rsidRDefault="00C37EE9" w:rsidP="00C37EE9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 xml:space="preserve">FIRMA CONTROL INTERNO </w:t>
            </w:r>
            <w:r w:rsidR="00DD34B3">
              <w:rPr>
                <w:noProof/>
                <w:lang w:eastAsia="es-CO"/>
              </w:rPr>
              <w:drawing>
                <wp:inline distT="0" distB="0" distL="0" distR="0" wp14:anchorId="693DA78C" wp14:editId="7D519BDE">
                  <wp:extent cx="1571625" cy="581420"/>
                  <wp:effectExtent l="0" t="0" r="0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267" cy="60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EE9" w:rsidRPr="003A79C1" w14:paraId="68477739" w14:textId="77777777" w:rsidTr="00624C16">
        <w:trPr>
          <w:trHeight w:val="34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0806E77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15C" w14:textId="2027E8BB" w:rsidR="00C37EE9" w:rsidRPr="00DD7327" w:rsidRDefault="00DD34B3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Jeimy Lorena Hurtado Zulu</w:t>
            </w:r>
            <w:r w:rsidR="00446E8F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a</w:t>
            </w: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ga</w:t>
            </w:r>
          </w:p>
        </w:tc>
      </w:tr>
      <w:tr w:rsidR="00C37EE9" w:rsidRPr="003A79C1" w14:paraId="02C8783E" w14:textId="77777777" w:rsidTr="006D5C4F">
        <w:trPr>
          <w:trHeight w:val="13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8B5A8D7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FF80" w14:textId="0395AD59" w:rsidR="00C37EE9" w:rsidRPr="00DD7327" w:rsidRDefault="00DD34B3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 xml:space="preserve">Profesional </w:t>
            </w:r>
            <w:r w:rsidR="00446E8F"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Universitaria Control Interno</w:t>
            </w:r>
          </w:p>
        </w:tc>
      </w:tr>
    </w:tbl>
    <w:p w14:paraId="4CDEAB4E" w14:textId="3475E38D" w:rsidR="003A79C1" w:rsidRDefault="003A79C1"/>
    <w:sectPr w:rsidR="003A79C1" w:rsidSect="00C0112A">
      <w:headerReference w:type="default" r:id="rId9"/>
      <w:footerReference w:type="default" r:id="rId10"/>
      <w:pgSz w:w="12240" w:h="15840"/>
      <w:pgMar w:top="1418" w:right="1418" w:bottom="158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7CB0C" w14:textId="77777777" w:rsidR="001456F9" w:rsidRDefault="001456F9" w:rsidP="00596237">
      <w:pPr>
        <w:spacing w:after="0" w:line="240" w:lineRule="auto"/>
      </w:pPr>
      <w:r>
        <w:separator/>
      </w:r>
    </w:p>
  </w:endnote>
  <w:endnote w:type="continuationSeparator" w:id="0">
    <w:p w14:paraId="119FE2DD" w14:textId="77777777" w:rsidR="001456F9" w:rsidRDefault="001456F9" w:rsidP="005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DCFF0" w14:textId="27D5C475" w:rsidR="00774FFD" w:rsidRPr="00596237" w:rsidRDefault="00FE7602" w:rsidP="00596237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58240" behindDoc="0" locked="0" layoutInCell="1" allowOverlap="1" wp14:anchorId="047D790A" wp14:editId="7C49D6AB">
          <wp:simplePos x="0" y="0"/>
          <wp:positionH relativeFrom="page">
            <wp:posOffset>43958</wp:posOffset>
          </wp:positionH>
          <wp:positionV relativeFrom="paragraph">
            <wp:posOffset>-683895</wp:posOffset>
          </wp:positionV>
          <wp:extent cx="7681505" cy="796413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505" cy="79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9FAEE" w14:textId="77777777" w:rsidR="001456F9" w:rsidRDefault="001456F9" w:rsidP="00596237">
      <w:pPr>
        <w:spacing w:after="0" w:line="240" w:lineRule="auto"/>
      </w:pPr>
      <w:r>
        <w:separator/>
      </w:r>
    </w:p>
  </w:footnote>
  <w:footnote w:type="continuationSeparator" w:id="0">
    <w:p w14:paraId="18FDE02C" w14:textId="77777777" w:rsidR="001456F9" w:rsidRDefault="001456F9" w:rsidP="005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3"/>
      <w:gridCol w:w="6014"/>
      <w:gridCol w:w="1417"/>
    </w:tblGrid>
    <w:tr w:rsidR="00097B10" w:rsidRPr="002A2A9C" w14:paraId="322F2C9E" w14:textId="77777777" w:rsidTr="00097B10">
      <w:trPr>
        <w:trHeight w:val="1408"/>
        <w:jc w:val="center"/>
      </w:trPr>
      <w:tc>
        <w:tcPr>
          <w:tcW w:w="2203" w:type="dxa"/>
          <w:vAlign w:val="center"/>
        </w:tcPr>
        <w:p w14:paraId="08C768E5" w14:textId="48305A0A" w:rsidR="00097B10" w:rsidRPr="002A2A9C" w:rsidRDefault="00097B10" w:rsidP="007A4B9C">
          <w:pPr>
            <w:spacing w:after="0" w:line="240" w:lineRule="auto"/>
            <w:jc w:val="center"/>
            <w:rPr>
              <w:rFonts w:ascii="Tahoma" w:hAnsi="Tahoma"/>
            </w:rPr>
          </w:pPr>
          <w:r w:rsidRPr="00097B10">
            <w:rPr>
              <w:rFonts w:ascii="Tahoma" w:hAnsi="Tahoma"/>
              <w:noProof/>
              <w:lang w:eastAsia="es-CO"/>
            </w:rPr>
            <w:drawing>
              <wp:inline distT="0" distB="0" distL="0" distR="0" wp14:anchorId="01FB0B07" wp14:editId="24268857">
                <wp:extent cx="1310639" cy="5121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17" cy="523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tcBorders>
            <w:right w:val="single" w:sz="4" w:space="0" w:color="auto"/>
          </w:tcBorders>
          <w:vAlign w:val="center"/>
        </w:tcPr>
        <w:p w14:paraId="136A8CC4" w14:textId="1444B934" w:rsidR="00097B10" w:rsidRDefault="00097B10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 w:rsidRPr="00C8372B">
            <w:rPr>
              <w:rFonts w:ascii="Arial" w:hAnsi="Arial" w:cs="Arial"/>
              <w:b/>
              <w:caps/>
              <w:szCs w:val="20"/>
            </w:rPr>
            <w:t>promotora de eventos y turismo s.a.s</w:t>
          </w:r>
        </w:p>
        <w:p w14:paraId="2B81CA25" w14:textId="5614C580" w:rsidR="00097B10" w:rsidRDefault="00097B10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>
            <w:rPr>
              <w:rFonts w:ascii="Arial" w:hAnsi="Arial" w:cs="Arial"/>
              <w:b/>
              <w:caps/>
              <w:szCs w:val="20"/>
            </w:rPr>
            <w:t>proceso evaluación a la g</w:t>
          </w:r>
          <w:r w:rsidR="002F64D2">
            <w:rPr>
              <w:rFonts w:ascii="Arial" w:hAnsi="Arial" w:cs="Arial"/>
              <w:b/>
              <w:caps/>
              <w:szCs w:val="20"/>
            </w:rPr>
            <w:t>E</w:t>
          </w:r>
          <w:r>
            <w:rPr>
              <w:rFonts w:ascii="Arial" w:hAnsi="Arial" w:cs="Arial"/>
              <w:b/>
              <w:caps/>
              <w:szCs w:val="20"/>
            </w:rPr>
            <w:t>stión institucional</w:t>
          </w:r>
        </w:p>
        <w:p w14:paraId="33243A18" w14:textId="2800D342" w:rsidR="00097B10" w:rsidRDefault="00097B10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>
            <w:rPr>
              <w:rFonts w:ascii="Arial" w:hAnsi="Arial" w:cs="Arial"/>
              <w:b/>
              <w:caps/>
              <w:szCs w:val="20"/>
            </w:rPr>
            <w:t>formato informe auditoria interna</w:t>
          </w:r>
        </w:p>
      </w:tc>
      <w:tc>
        <w:tcPr>
          <w:tcW w:w="1417" w:type="dxa"/>
          <w:tcBorders>
            <w:right w:val="single" w:sz="4" w:space="0" w:color="auto"/>
          </w:tcBorders>
          <w:vAlign w:val="center"/>
        </w:tcPr>
        <w:p w14:paraId="1D2ADF24" w14:textId="77777777" w:rsidR="00097B10" w:rsidRPr="00097B10" w:rsidRDefault="00097B10" w:rsidP="00097B10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Código</w:t>
          </w:r>
        </w:p>
        <w:p w14:paraId="70752616" w14:textId="77777777" w:rsidR="00097B10" w:rsidRPr="00097B10" w:rsidRDefault="00097B10" w:rsidP="00097B10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FO-01</w:t>
          </w:r>
        </w:p>
        <w:p w14:paraId="2D33AAE0" w14:textId="20B44975" w:rsidR="00097B10" w:rsidRPr="00EA6D05" w:rsidRDefault="00097B10" w:rsidP="00097B1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97B10">
            <w:rPr>
              <w:rFonts w:ascii="Arial" w:hAnsi="Arial" w:cs="Arial"/>
              <w:sz w:val="14"/>
              <w:szCs w:val="14"/>
            </w:rPr>
            <w:t>Versión 1</w:t>
          </w:r>
        </w:p>
      </w:tc>
    </w:tr>
  </w:tbl>
  <w:p w14:paraId="27C5D21A" w14:textId="33CED72E" w:rsidR="00774FFD" w:rsidRDefault="00774F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070422"/>
    <w:multiLevelType w:val="hybridMultilevel"/>
    <w:tmpl w:val="DD63B1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B6B41"/>
    <w:multiLevelType w:val="hybridMultilevel"/>
    <w:tmpl w:val="BA4A2D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3C63"/>
    <w:multiLevelType w:val="multilevel"/>
    <w:tmpl w:val="B0B6D7C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410A6"/>
    <w:multiLevelType w:val="hybridMultilevel"/>
    <w:tmpl w:val="11BEF8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46E27"/>
    <w:multiLevelType w:val="hybridMultilevel"/>
    <w:tmpl w:val="1F46269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D817A1"/>
    <w:multiLevelType w:val="multilevel"/>
    <w:tmpl w:val="4C14267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50D70"/>
    <w:multiLevelType w:val="hybridMultilevel"/>
    <w:tmpl w:val="3E8858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72B46"/>
    <w:multiLevelType w:val="multilevel"/>
    <w:tmpl w:val="9410C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F410A"/>
    <w:multiLevelType w:val="multilevel"/>
    <w:tmpl w:val="B48CE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C54D8"/>
    <w:multiLevelType w:val="hybridMultilevel"/>
    <w:tmpl w:val="D41022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43627"/>
    <w:multiLevelType w:val="hybridMultilevel"/>
    <w:tmpl w:val="65B2E1E4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400405F"/>
    <w:multiLevelType w:val="multilevel"/>
    <w:tmpl w:val="9BCE9B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09CE"/>
    <w:multiLevelType w:val="hybridMultilevel"/>
    <w:tmpl w:val="AEE050E8"/>
    <w:lvl w:ilvl="0" w:tplc="98380DAE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708A1"/>
    <w:multiLevelType w:val="hybridMultilevel"/>
    <w:tmpl w:val="DBE0AE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F2ACA"/>
    <w:multiLevelType w:val="multilevel"/>
    <w:tmpl w:val="A59A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9AE024D"/>
    <w:multiLevelType w:val="hybridMultilevel"/>
    <w:tmpl w:val="3A622C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D4246A"/>
    <w:multiLevelType w:val="multilevel"/>
    <w:tmpl w:val="7AB02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D0E7E75"/>
    <w:multiLevelType w:val="hybridMultilevel"/>
    <w:tmpl w:val="E0D26D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C359B7"/>
    <w:multiLevelType w:val="hybridMultilevel"/>
    <w:tmpl w:val="90C0A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75427"/>
    <w:multiLevelType w:val="multilevel"/>
    <w:tmpl w:val="47969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44640"/>
    <w:multiLevelType w:val="hybridMultilevel"/>
    <w:tmpl w:val="92007E1C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5016FB"/>
    <w:multiLevelType w:val="hybridMultilevel"/>
    <w:tmpl w:val="E4508A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313D11"/>
    <w:multiLevelType w:val="hybridMultilevel"/>
    <w:tmpl w:val="FD403DD4"/>
    <w:lvl w:ilvl="0" w:tplc="59E62C6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5974420"/>
    <w:multiLevelType w:val="hybridMultilevel"/>
    <w:tmpl w:val="8CD42F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651CD"/>
    <w:multiLevelType w:val="hybridMultilevel"/>
    <w:tmpl w:val="0DE212C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F049D0"/>
    <w:multiLevelType w:val="hybridMultilevel"/>
    <w:tmpl w:val="EC089B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DB1A3C"/>
    <w:multiLevelType w:val="hybridMultilevel"/>
    <w:tmpl w:val="429847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333D7"/>
    <w:multiLevelType w:val="hybridMultilevel"/>
    <w:tmpl w:val="FEDCD2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F53FF"/>
    <w:multiLevelType w:val="multilevel"/>
    <w:tmpl w:val="3C225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46B9E"/>
    <w:multiLevelType w:val="multilevel"/>
    <w:tmpl w:val="99F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24069"/>
    <w:multiLevelType w:val="hybridMultilevel"/>
    <w:tmpl w:val="2DE6343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856FA"/>
    <w:multiLevelType w:val="hybridMultilevel"/>
    <w:tmpl w:val="386E62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46E5D"/>
    <w:multiLevelType w:val="hybridMultilevel"/>
    <w:tmpl w:val="AA94941A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FE137C7"/>
    <w:multiLevelType w:val="hybridMultilevel"/>
    <w:tmpl w:val="043A73EE"/>
    <w:lvl w:ilvl="0" w:tplc="AD44A3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0"/>
  </w:num>
  <w:num w:numId="4">
    <w:abstractNumId w:val="22"/>
  </w:num>
  <w:num w:numId="5">
    <w:abstractNumId w:val="23"/>
  </w:num>
  <w:num w:numId="6">
    <w:abstractNumId w:val="17"/>
  </w:num>
  <w:num w:numId="7">
    <w:abstractNumId w:val="24"/>
  </w:num>
  <w:num w:numId="8">
    <w:abstractNumId w:val="33"/>
  </w:num>
  <w:num w:numId="9">
    <w:abstractNumId w:val="30"/>
  </w:num>
  <w:num w:numId="10">
    <w:abstractNumId w:val="0"/>
  </w:num>
  <w:num w:numId="11">
    <w:abstractNumId w:val="27"/>
  </w:num>
  <w:num w:numId="12">
    <w:abstractNumId w:val="25"/>
  </w:num>
  <w:num w:numId="13">
    <w:abstractNumId w:val="26"/>
  </w:num>
  <w:num w:numId="14">
    <w:abstractNumId w:val="9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15"/>
  </w:num>
  <w:num w:numId="20">
    <w:abstractNumId w:val="3"/>
  </w:num>
  <w:num w:numId="21">
    <w:abstractNumId w:val="28"/>
  </w:num>
  <w:num w:numId="22">
    <w:abstractNumId w:val="11"/>
  </w:num>
  <w:num w:numId="23">
    <w:abstractNumId w:val="4"/>
  </w:num>
  <w:num w:numId="24">
    <w:abstractNumId w:val="29"/>
  </w:num>
  <w:num w:numId="25">
    <w:abstractNumId w:val="2"/>
  </w:num>
  <w:num w:numId="26">
    <w:abstractNumId w:val="19"/>
  </w:num>
  <w:num w:numId="27">
    <w:abstractNumId w:val="13"/>
  </w:num>
  <w:num w:numId="28">
    <w:abstractNumId w:val="7"/>
  </w:num>
  <w:num w:numId="29">
    <w:abstractNumId w:val="8"/>
  </w:num>
  <w:num w:numId="30">
    <w:abstractNumId w:val="5"/>
  </w:num>
  <w:num w:numId="31">
    <w:abstractNumId w:val="16"/>
  </w:num>
  <w:num w:numId="32">
    <w:abstractNumId w:val="32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37"/>
    <w:rsid w:val="00004E6C"/>
    <w:rsid w:val="00010DE3"/>
    <w:rsid w:val="00011499"/>
    <w:rsid w:val="00023C44"/>
    <w:rsid w:val="000328A8"/>
    <w:rsid w:val="00054FDD"/>
    <w:rsid w:val="00057F7C"/>
    <w:rsid w:val="0006557D"/>
    <w:rsid w:val="0007239B"/>
    <w:rsid w:val="00076347"/>
    <w:rsid w:val="000764EC"/>
    <w:rsid w:val="0008437D"/>
    <w:rsid w:val="00090BB1"/>
    <w:rsid w:val="000936A5"/>
    <w:rsid w:val="00097B10"/>
    <w:rsid w:val="000B01CF"/>
    <w:rsid w:val="000B04EE"/>
    <w:rsid w:val="000B0E1A"/>
    <w:rsid w:val="000B505D"/>
    <w:rsid w:val="000C2C12"/>
    <w:rsid w:val="000C4119"/>
    <w:rsid w:val="000D0E51"/>
    <w:rsid w:val="000D2251"/>
    <w:rsid w:val="000D7FF1"/>
    <w:rsid w:val="000E24DD"/>
    <w:rsid w:val="000E64F4"/>
    <w:rsid w:val="000F1372"/>
    <w:rsid w:val="001001B1"/>
    <w:rsid w:val="00116B72"/>
    <w:rsid w:val="001217C6"/>
    <w:rsid w:val="00123EB8"/>
    <w:rsid w:val="00126DFD"/>
    <w:rsid w:val="00130AD0"/>
    <w:rsid w:val="001357A8"/>
    <w:rsid w:val="00140BC8"/>
    <w:rsid w:val="001456F9"/>
    <w:rsid w:val="00156832"/>
    <w:rsid w:val="0017018D"/>
    <w:rsid w:val="0017022A"/>
    <w:rsid w:val="0017129C"/>
    <w:rsid w:val="00173915"/>
    <w:rsid w:val="00184062"/>
    <w:rsid w:val="00187CC4"/>
    <w:rsid w:val="0019269D"/>
    <w:rsid w:val="001926BD"/>
    <w:rsid w:val="0019327A"/>
    <w:rsid w:val="00195000"/>
    <w:rsid w:val="001A2EED"/>
    <w:rsid w:val="001A4E64"/>
    <w:rsid w:val="001B14B0"/>
    <w:rsid w:val="001C1CC8"/>
    <w:rsid w:val="001C338E"/>
    <w:rsid w:val="001C4F00"/>
    <w:rsid w:val="001D0421"/>
    <w:rsid w:val="001D3675"/>
    <w:rsid w:val="001D4C58"/>
    <w:rsid w:val="001D6510"/>
    <w:rsid w:val="001E3B3F"/>
    <w:rsid w:val="001E48BE"/>
    <w:rsid w:val="001F2D19"/>
    <w:rsid w:val="001F6E34"/>
    <w:rsid w:val="00203BD6"/>
    <w:rsid w:val="00205DC4"/>
    <w:rsid w:val="002061C7"/>
    <w:rsid w:val="00206DAE"/>
    <w:rsid w:val="00210FD6"/>
    <w:rsid w:val="00210FE8"/>
    <w:rsid w:val="00222466"/>
    <w:rsid w:val="00222C96"/>
    <w:rsid w:val="00222D16"/>
    <w:rsid w:val="002349A3"/>
    <w:rsid w:val="00236662"/>
    <w:rsid w:val="00242CCF"/>
    <w:rsid w:val="002433F6"/>
    <w:rsid w:val="0024712E"/>
    <w:rsid w:val="00251F20"/>
    <w:rsid w:val="002664BA"/>
    <w:rsid w:val="002666B3"/>
    <w:rsid w:val="0027039F"/>
    <w:rsid w:val="0027292A"/>
    <w:rsid w:val="00273BCC"/>
    <w:rsid w:val="0028021E"/>
    <w:rsid w:val="00281352"/>
    <w:rsid w:val="00283D5F"/>
    <w:rsid w:val="00287861"/>
    <w:rsid w:val="002A1E6B"/>
    <w:rsid w:val="002A6D15"/>
    <w:rsid w:val="002A7412"/>
    <w:rsid w:val="002B57FE"/>
    <w:rsid w:val="002B7B4E"/>
    <w:rsid w:val="002C7446"/>
    <w:rsid w:val="002D5B59"/>
    <w:rsid w:val="002E0185"/>
    <w:rsid w:val="002E3F5B"/>
    <w:rsid w:val="002E5BEA"/>
    <w:rsid w:val="002E6648"/>
    <w:rsid w:val="002F6498"/>
    <w:rsid w:val="002F64D2"/>
    <w:rsid w:val="003039D6"/>
    <w:rsid w:val="00304810"/>
    <w:rsid w:val="003058DE"/>
    <w:rsid w:val="003175C4"/>
    <w:rsid w:val="00326B2F"/>
    <w:rsid w:val="0033520D"/>
    <w:rsid w:val="00337980"/>
    <w:rsid w:val="00346D66"/>
    <w:rsid w:val="00347EE0"/>
    <w:rsid w:val="00353389"/>
    <w:rsid w:val="003670D8"/>
    <w:rsid w:val="00370BDC"/>
    <w:rsid w:val="00372F69"/>
    <w:rsid w:val="00376B5E"/>
    <w:rsid w:val="003772FF"/>
    <w:rsid w:val="00385DCC"/>
    <w:rsid w:val="00385E04"/>
    <w:rsid w:val="00390523"/>
    <w:rsid w:val="003927C0"/>
    <w:rsid w:val="0039452C"/>
    <w:rsid w:val="003962D3"/>
    <w:rsid w:val="003A217F"/>
    <w:rsid w:val="003A26BA"/>
    <w:rsid w:val="003A6627"/>
    <w:rsid w:val="003A79C1"/>
    <w:rsid w:val="003B3BBC"/>
    <w:rsid w:val="003B496F"/>
    <w:rsid w:val="003B50AF"/>
    <w:rsid w:val="003B517B"/>
    <w:rsid w:val="003B5C49"/>
    <w:rsid w:val="003C4A90"/>
    <w:rsid w:val="003C5973"/>
    <w:rsid w:val="003C7E4B"/>
    <w:rsid w:val="003D3FA6"/>
    <w:rsid w:val="003D5727"/>
    <w:rsid w:val="003E31B9"/>
    <w:rsid w:val="003E377F"/>
    <w:rsid w:val="003F493D"/>
    <w:rsid w:val="003F73D7"/>
    <w:rsid w:val="0040367F"/>
    <w:rsid w:val="00403D65"/>
    <w:rsid w:val="00404581"/>
    <w:rsid w:val="00404B70"/>
    <w:rsid w:val="00407329"/>
    <w:rsid w:val="00412418"/>
    <w:rsid w:val="00414A5C"/>
    <w:rsid w:val="00415313"/>
    <w:rsid w:val="004158CA"/>
    <w:rsid w:val="004207CD"/>
    <w:rsid w:val="004248A7"/>
    <w:rsid w:val="00430338"/>
    <w:rsid w:val="004400CB"/>
    <w:rsid w:val="004403C9"/>
    <w:rsid w:val="00440C55"/>
    <w:rsid w:val="00441CE7"/>
    <w:rsid w:val="00445054"/>
    <w:rsid w:val="0044595B"/>
    <w:rsid w:val="00446E8F"/>
    <w:rsid w:val="00452DE7"/>
    <w:rsid w:val="004654E5"/>
    <w:rsid w:val="004722C3"/>
    <w:rsid w:val="00472928"/>
    <w:rsid w:val="004748E9"/>
    <w:rsid w:val="00474EBA"/>
    <w:rsid w:val="00491173"/>
    <w:rsid w:val="00495E07"/>
    <w:rsid w:val="004963AF"/>
    <w:rsid w:val="00496C55"/>
    <w:rsid w:val="004A0CC1"/>
    <w:rsid w:val="004A428F"/>
    <w:rsid w:val="004A5429"/>
    <w:rsid w:val="004B02A4"/>
    <w:rsid w:val="004B1AE1"/>
    <w:rsid w:val="004B4285"/>
    <w:rsid w:val="004C5D1A"/>
    <w:rsid w:val="004D380C"/>
    <w:rsid w:val="004D4B4E"/>
    <w:rsid w:val="004D75ED"/>
    <w:rsid w:val="004E24D1"/>
    <w:rsid w:val="004E42D3"/>
    <w:rsid w:val="004E443F"/>
    <w:rsid w:val="004F07F9"/>
    <w:rsid w:val="004F6894"/>
    <w:rsid w:val="004F7C79"/>
    <w:rsid w:val="00502F59"/>
    <w:rsid w:val="00513D17"/>
    <w:rsid w:val="005156C1"/>
    <w:rsid w:val="005211E0"/>
    <w:rsid w:val="0052285A"/>
    <w:rsid w:val="00526345"/>
    <w:rsid w:val="0052702E"/>
    <w:rsid w:val="00542E38"/>
    <w:rsid w:val="00550993"/>
    <w:rsid w:val="005514AA"/>
    <w:rsid w:val="00555643"/>
    <w:rsid w:val="00560A89"/>
    <w:rsid w:val="005610BC"/>
    <w:rsid w:val="00566AF8"/>
    <w:rsid w:val="00573296"/>
    <w:rsid w:val="00577970"/>
    <w:rsid w:val="00582C07"/>
    <w:rsid w:val="0058360B"/>
    <w:rsid w:val="00587D1D"/>
    <w:rsid w:val="00594190"/>
    <w:rsid w:val="00596237"/>
    <w:rsid w:val="005C2134"/>
    <w:rsid w:val="005D5C17"/>
    <w:rsid w:val="005E1004"/>
    <w:rsid w:val="005E1796"/>
    <w:rsid w:val="005E1DE6"/>
    <w:rsid w:val="005F0BFC"/>
    <w:rsid w:val="005F4C9D"/>
    <w:rsid w:val="006003D2"/>
    <w:rsid w:val="00601D99"/>
    <w:rsid w:val="00610A36"/>
    <w:rsid w:val="00612747"/>
    <w:rsid w:val="00612D53"/>
    <w:rsid w:val="006137F0"/>
    <w:rsid w:val="00617A6A"/>
    <w:rsid w:val="00620326"/>
    <w:rsid w:val="00624C16"/>
    <w:rsid w:val="00626EED"/>
    <w:rsid w:val="006356E3"/>
    <w:rsid w:val="00635D93"/>
    <w:rsid w:val="00645EDE"/>
    <w:rsid w:val="0065222B"/>
    <w:rsid w:val="00660EBD"/>
    <w:rsid w:val="006642DF"/>
    <w:rsid w:val="00665334"/>
    <w:rsid w:val="00671941"/>
    <w:rsid w:val="0067414B"/>
    <w:rsid w:val="0067680D"/>
    <w:rsid w:val="00686D0F"/>
    <w:rsid w:val="006907A9"/>
    <w:rsid w:val="00692DA5"/>
    <w:rsid w:val="00692ED4"/>
    <w:rsid w:val="0069461D"/>
    <w:rsid w:val="00697A90"/>
    <w:rsid w:val="006A11F4"/>
    <w:rsid w:val="006B14A5"/>
    <w:rsid w:val="006B342C"/>
    <w:rsid w:val="006B35CB"/>
    <w:rsid w:val="006C3B17"/>
    <w:rsid w:val="006C4D2C"/>
    <w:rsid w:val="006C5DA4"/>
    <w:rsid w:val="006D50AE"/>
    <w:rsid w:val="006D5C4F"/>
    <w:rsid w:val="006E2B69"/>
    <w:rsid w:val="006E2EBA"/>
    <w:rsid w:val="006E55D7"/>
    <w:rsid w:val="006E6433"/>
    <w:rsid w:val="006F25A9"/>
    <w:rsid w:val="006F2DA2"/>
    <w:rsid w:val="006F6A73"/>
    <w:rsid w:val="00702322"/>
    <w:rsid w:val="007064E1"/>
    <w:rsid w:val="0070672D"/>
    <w:rsid w:val="00715685"/>
    <w:rsid w:val="00732F88"/>
    <w:rsid w:val="00734325"/>
    <w:rsid w:val="00734C86"/>
    <w:rsid w:val="0073774A"/>
    <w:rsid w:val="00740343"/>
    <w:rsid w:val="00741088"/>
    <w:rsid w:val="00755A21"/>
    <w:rsid w:val="00757663"/>
    <w:rsid w:val="0076564F"/>
    <w:rsid w:val="007672A3"/>
    <w:rsid w:val="00771F9F"/>
    <w:rsid w:val="0077429D"/>
    <w:rsid w:val="00774765"/>
    <w:rsid w:val="00774FFD"/>
    <w:rsid w:val="007801DD"/>
    <w:rsid w:val="0078475A"/>
    <w:rsid w:val="00791F31"/>
    <w:rsid w:val="007A4B9C"/>
    <w:rsid w:val="007A4E06"/>
    <w:rsid w:val="007A7182"/>
    <w:rsid w:val="007B165D"/>
    <w:rsid w:val="007B608F"/>
    <w:rsid w:val="007B611C"/>
    <w:rsid w:val="007B7F97"/>
    <w:rsid w:val="007C5262"/>
    <w:rsid w:val="007D37BC"/>
    <w:rsid w:val="007D55C5"/>
    <w:rsid w:val="007D5941"/>
    <w:rsid w:val="007F099E"/>
    <w:rsid w:val="007F30FF"/>
    <w:rsid w:val="008077EC"/>
    <w:rsid w:val="00810010"/>
    <w:rsid w:val="0081017E"/>
    <w:rsid w:val="00813964"/>
    <w:rsid w:val="008154FE"/>
    <w:rsid w:val="008172CA"/>
    <w:rsid w:val="0082422A"/>
    <w:rsid w:val="00824B23"/>
    <w:rsid w:val="0082557D"/>
    <w:rsid w:val="00831FB6"/>
    <w:rsid w:val="00837E97"/>
    <w:rsid w:val="008426A3"/>
    <w:rsid w:val="008439DD"/>
    <w:rsid w:val="00846088"/>
    <w:rsid w:val="00860258"/>
    <w:rsid w:val="00865FD7"/>
    <w:rsid w:val="00867ECF"/>
    <w:rsid w:val="0087430D"/>
    <w:rsid w:val="008761CB"/>
    <w:rsid w:val="00886AA8"/>
    <w:rsid w:val="0089367F"/>
    <w:rsid w:val="008966B4"/>
    <w:rsid w:val="008A259C"/>
    <w:rsid w:val="008A5089"/>
    <w:rsid w:val="008A50BB"/>
    <w:rsid w:val="008B189B"/>
    <w:rsid w:val="008C2973"/>
    <w:rsid w:val="008C6A8F"/>
    <w:rsid w:val="008D1107"/>
    <w:rsid w:val="008E2F89"/>
    <w:rsid w:val="008E393B"/>
    <w:rsid w:val="008E5FE9"/>
    <w:rsid w:val="008E7329"/>
    <w:rsid w:val="008F0E73"/>
    <w:rsid w:val="008F1714"/>
    <w:rsid w:val="008F3F5C"/>
    <w:rsid w:val="008F580B"/>
    <w:rsid w:val="00903271"/>
    <w:rsid w:val="00906469"/>
    <w:rsid w:val="00907800"/>
    <w:rsid w:val="0091273E"/>
    <w:rsid w:val="0091510F"/>
    <w:rsid w:val="00915DAD"/>
    <w:rsid w:val="00916A55"/>
    <w:rsid w:val="00924040"/>
    <w:rsid w:val="009254A8"/>
    <w:rsid w:val="00930149"/>
    <w:rsid w:val="00937FE9"/>
    <w:rsid w:val="00944C7A"/>
    <w:rsid w:val="00944D1C"/>
    <w:rsid w:val="00947B9E"/>
    <w:rsid w:val="00954349"/>
    <w:rsid w:val="00955973"/>
    <w:rsid w:val="00961367"/>
    <w:rsid w:val="00966D4B"/>
    <w:rsid w:val="009737BA"/>
    <w:rsid w:val="00976AFF"/>
    <w:rsid w:val="0097797A"/>
    <w:rsid w:val="0098503E"/>
    <w:rsid w:val="009A0E62"/>
    <w:rsid w:val="009B009D"/>
    <w:rsid w:val="009B323C"/>
    <w:rsid w:val="009C310A"/>
    <w:rsid w:val="009C4F30"/>
    <w:rsid w:val="009D4439"/>
    <w:rsid w:val="009E3FF3"/>
    <w:rsid w:val="009F0072"/>
    <w:rsid w:val="009F7234"/>
    <w:rsid w:val="009F766E"/>
    <w:rsid w:val="00A076D6"/>
    <w:rsid w:val="00A10BE9"/>
    <w:rsid w:val="00A11E00"/>
    <w:rsid w:val="00A14B56"/>
    <w:rsid w:val="00A14E8E"/>
    <w:rsid w:val="00A1764E"/>
    <w:rsid w:val="00A217DC"/>
    <w:rsid w:val="00A225F7"/>
    <w:rsid w:val="00A22821"/>
    <w:rsid w:val="00A24AE5"/>
    <w:rsid w:val="00A263F1"/>
    <w:rsid w:val="00A27ACF"/>
    <w:rsid w:val="00A406BC"/>
    <w:rsid w:val="00A40AF2"/>
    <w:rsid w:val="00A4286C"/>
    <w:rsid w:val="00A452F8"/>
    <w:rsid w:val="00A55E00"/>
    <w:rsid w:val="00A61165"/>
    <w:rsid w:val="00A65B12"/>
    <w:rsid w:val="00A73A67"/>
    <w:rsid w:val="00A745A3"/>
    <w:rsid w:val="00A76FDB"/>
    <w:rsid w:val="00A77152"/>
    <w:rsid w:val="00A803A0"/>
    <w:rsid w:val="00A84DAB"/>
    <w:rsid w:val="00A870F3"/>
    <w:rsid w:val="00A87B76"/>
    <w:rsid w:val="00A90E5F"/>
    <w:rsid w:val="00A92894"/>
    <w:rsid w:val="00A95088"/>
    <w:rsid w:val="00A95366"/>
    <w:rsid w:val="00AA2883"/>
    <w:rsid w:val="00AA4F4F"/>
    <w:rsid w:val="00AA5A00"/>
    <w:rsid w:val="00AA5DEE"/>
    <w:rsid w:val="00AB5962"/>
    <w:rsid w:val="00AC2AA8"/>
    <w:rsid w:val="00AC6307"/>
    <w:rsid w:val="00AE0C05"/>
    <w:rsid w:val="00AE6E56"/>
    <w:rsid w:val="00B00419"/>
    <w:rsid w:val="00B01AAC"/>
    <w:rsid w:val="00B04615"/>
    <w:rsid w:val="00B070A6"/>
    <w:rsid w:val="00B21235"/>
    <w:rsid w:val="00B31B4D"/>
    <w:rsid w:val="00B341EF"/>
    <w:rsid w:val="00B36FE6"/>
    <w:rsid w:val="00B4392B"/>
    <w:rsid w:val="00B43E06"/>
    <w:rsid w:val="00B44ABD"/>
    <w:rsid w:val="00B47EC1"/>
    <w:rsid w:val="00B62472"/>
    <w:rsid w:val="00B63B88"/>
    <w:rsid w:val="00B64270"/>
    <w:rsid w:val="00B64515"/>
    <w:rsid w:val="00B66E08"/>
    <w:rsid w:val="00B7652A"/>
    <w:rsid w:val="00B8117A"/>
    <w:rsid w:val="00B8197E"/>
    <w:rsid w:val="00B82B0A"/>
    <w:rsid w:val="00B83C92"/>
    <w:rsid w:val="00B85DF6"/>
    <w:rsid w:val="00B87BBC"/>
    <w:rsid w:val="00B91418"/>
    <w:rsid w:val="00BC414D"/>
    <w:rsid w:val="00BD06C7"/>
    <w:rsid w:val="00BD3DCB"/>
    <w:rsid w:val="00BD619F"/>
    <w:rsid w:val="00BD6296"/>
    <w:rsid w:val="00BE2F8D"/>
    <w:rsid w:val="00BE4DE8"/>
    <w:rsid w:val="00BE533F"/>
    <w:rsid w:val="00BF6C58"/>
    <w:rsid w:val="00BF73AC"/>
    <w:rsid w:val="00C00E41"/>
    <w:rsid w:val="00C0112A"/>
    <w:rsid w:val="00C03594"/>
    <w:rsid w:val="00C066A2"/>
    <w:rsid w:val="00C06EDE"/>
    <w:rsid w:val="00C11AF1"/>
    <w:rsid w:val="00C12CAF"/>
    <w:rsid w:val="00C12EBF"/>
    <w:rsid w:val="00C14B6D"/>
    <w:rsid w:val="00C1529A"/>
    <w:rsid w:val="00C1780F"/>
    <w:rsid w:val="00C1790E"/>
    <w:rsid w:val="00C22A4D"/>
    <w:rsid w:val="00C32A36"/>
    <w:rsid w:val="00C33535"/>
    <w:rsid w:val="00C35300"/>
    <w:rsid w:val="00C37EE9"/>
    <w:rsid w:val="00C40D62"/>
    <w:rsid w:val="00C40F01"/>
    <w:rsid w:val="00C41350"/>
    <w:rsid w:val="00C41703"/>
    <w:rsid w:val="00C42F5E"/>
    <w:rsid w:val="00C4496A"/>
    <w:rsid w:val="00C45BA2"/>
    <w:rsid w:val="00C466E3"/>
    <w:rsid w:val="00C505C0"/>
    <w:rsid w:val="00C57804"/>
    <w:rsid w:val="00C578AD"/>
    <w:rsid w:val="00C65F2F"/>
    <w:rsid w:val="00C66FD7"/>
    <w:rsid w:val="00C75450"/>
    <w:rsid w:val="00C77290"/>
    <w:rsid w:val="00C82AB1"/>
    <w:rsid w:val="00C8372B"/>
    <w:rsid w:val="00CA4553"/>
    <w:rsid w:val="00CB0224"/>
    <w:rsid w:val="00CB60C8"/>
    <w:rsid w:val="00CB65D4"/>
    <w:rsid w:val="00CB709A"/>
    <w:rsid w:val="00CC722F"/>
    <w:rsid w:val="00CC769A"/>
    <w:rsid w:val="00CC7E38"/>
    <w:rsid w:val="00CE3CED"/>
    <w:rsid w:val="00CE6665"/>
    <w:rsid w:val="00CF473B"/>
    <w:rsid w:val="00CF5AA9"/>
    <w:rsid w:val="00D01DDA"/>
    <w:rsid w:val="00D06C55"/>
    <w:rsid w:val="00D07399"/>
    <w:rsid w:val="00D12546"/>
    <w:rsid w:val="00D131A4"/>
    <w:rsid w:val="00D21640"/>
    <w:rsid w:val="00D326BF"/>
    <w:rsid w:val="00D349EF"/>
    <w:rsid w:val="00D36A4E"/>
    <w:rsid w:val="00D37A22"/>
    <w:rsid w:val="00D4199B"/>
    <w:rsid w:val="00D42F82"/>
    <w:rsid w:val="00D43953"/>
    <w:rsid w:val="00D56C75"/>
    <w:rsid w:val="00D606C7"/>
    <w:rsid w:val="00D66AD1"/>
    <w:rsid w:val="00D67DBF"/>
    <w:rsid w:val="00D67E57"/>
    <w:rsid w:val="00D75D30"/>
    <w:rsid w:val="00D80F59"/>
    <w:rsid w:val="00D84B44"/>
    <w:rsid w:val="00D90533"/>
    <w:rsid w:val="00D917B6"/>
    <w:rsid w:val="00DA549F"/>
    <w:rsid w:val="00DA6DB9"/>
    <w:rsid w:val="00DC6AF3"/>
    <w:rsid w:val="00DD34B3"/>
    <w:rsid w:val="00DD3B99"/>
    <w:rsid w:val="00DD7327"/>
    <w:rsid w:val="00DD7350"/>
    <w:rsid w:val="00DE18C9"/>
    <w:rsid w:val="00DE223E"/>
    <w:rsid w:val="00DE4F25"/>
    <w:rsid w:val="00DE5EC0"/>
    <w:rsid w:val="00DF00DC"/>
    <w:rsid w:val="00DF20B2"/>
    <w:rsid w:val="00DF35C8"/>
    <w:rsid w:val="00DF7ADF"/>
    <w:rsid w:val="00DF7F4B"/>
    <w:rsid w:val="00E02F7E"/>
    <w:rsid w:val="00E118A9"/>
    <w:rsid w:val="00E1557F"/>
    <w:rsid w:val="00E3124B"/>
    <w:rsid w:val="00E36C5A"/>
    <w:rsid w:val="00E432D0"/>
    <w:rsid w:val="00E45273"/>
    <w:rsid w:val="00E5037C"/>
    <w:rsid w:val="00E51274"/>
    <w:rsid w:val="00E564CC"/>
    <w:rsid w:val="00E565A9"/>
    <w:rsid w:val="00E63314"/>
    <w:rsid w:val="00E7238B"/>
    <w:rsid w:val="00E727D2"/>
    <w:rsid w:val="00E9258A"/>
    <w:rsid w:val="00E92C77"/>
    <w:rsid w:val="00E95191"/>
    <w:rsid w:val="00E97E85"/>
    <w:rsid w:val="00EA7022"/>
    <w:rsid w:val="00EC0C90"/>
    <w:rsid w:val="00ED1FF9"/>
    <w:rsid w:val="00ED46DB"/>
    <w:rsid w:val="00ED5208"/>
    <w:rsid w:val="00ED53AA"/>
    <w:rsid w:val="00EE1EBE"/>
    <w:rsid w:val="00EE5F24"/>
    <w:rsid w:val="00EF4B9A"/>
    <w:rsid w:val="00F03EF7"/>
    <w:rsid w:val="00F04DF4"/>
    <w:rsid w:val="00F06CEC"/>
    <w:rsid w:val="00F1098D"/>
    <w:rsid w:val="00F12F00"/>
    <w:rsid w:val="00F14947"/>
    <w:rsid w:val="00F16B1C"/>
    <w:rsid w:val="00F208D0"/>
    <w:rsid w:val="00F25693"/>
    <w:rsid w:val="00F256E6"/>
    <w:rsid w:val="00F259A6"/>
    <w:rsid w:val="00F3564E"/>
    <w:rsid w:val="00F35B3D"/>
    <w:rsid w:val="00F46969"/>
    <w:rsid w:val="00F56128"/>
    <w:rsid w:val="00F61956"/>
    <w:rsid w:val="00F6327C"/>
    <w:rsid w:val="00F85220"/>
    <w:rsid w:val="00F9293A"/>
    <w:rsid w:val="00F95AC1"/>
    <w:rsid w:val="00F976C7"/>
    <w:rsid w:val="00FA0ADC"/>
    <w:rsid w:val="00FA23D8"/>
    <w:rsid w:val="00FA5F39"/>
    <w:rsid w:val="00FB24C0"/>
    <w:rsid w:val="00FB4FDA"/>
    <w:rsid w:val="00FC7F20"/>
    <w:rsid w:val="00FD27EE"/>
    <w:rsid w:val="00FD52E0"/>
    <w:rsid w:val="00FD631A"/>
    <w:rsid w:val="00FD684C"/>
    <w:rsid w:val="00FD68C0"/>
    <w:rsid w:val="00FE0941"/>
    <w:rsid w:val="00FE2D0E"/>
    <w:rsid w:val="00FE6B87"/>
    <w:rsid w:val="00FE7602"/>
    <w:rsid w:val="00FF2E9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52987"/>
  <w15:chartTrackingRefBased/>
  <w15:docId w15:val="{17D4AB1F-428D-4474-B72B-09170510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23"/>
  </w:style>
  <w:style w:type="paragraph" w:styleId="Ttulo1">
    <w:name w:val="heading 1"/>
    <w:basedOn w:val="Normal"/>
    <w:link w:val="Ttulo1Car"/>
    <w:uiPriority w:val="9"/>
    <w:qFormat/>
    <w:rsid w:val="00EE5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7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237"/>
  </w:style>
  <w:style w:type="paragraph" w:styleId="Piedepgina">
    <w:name w:val="footer"/>
    <w:basedOn w:val="Normal"/>
    <w:link w:val="PiedepginaCar"/>
    <w:uiPriority w:val="99"/>
    <w:unhideWhenUsed/>
    <w:rsid w:val="00596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237"/>
  </w:style>
  <w:style w:type="table" w:styleId="Tablaconcuadrcula">
    <w:name w:val="Table Grid"/>
    <w:basedOn w:val="Tablanormal"/>
    <w:uiPriority w:val="39"/>
    <w:rsid w:val="0044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CE7"/>
    <w:pPr>
      <w:suppressAutoHyphens/>
      <w:spacing w:after="0"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414A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116B72"/>
    <w:rPr>
      <w:b/>
      <w:bCs/>
    </w:rPr>
  </w:style>
  <w:style w:type="paragraph" w:styleId="NormalWeb">
    <w:name w:val="Normal (Web)"/>
    <w:basedOn w:val="Normal"/>
    <w:uiPriority w:val="99"/>
    <w:unhideWhenUsed/>
    <w:rsid w:val="00A7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EE5F2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837E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EC59-5CFA-4077-8A94-53141474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4329</TotalTime>
  <Pages>9</Pages>
  <Words>2280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PC-1</cp:lastModifiedBy>
  <cp:revision>261</cp:revision>
  <cp:lastPrinted>2025-12-03T18:48:00Z</cp:lastPrinted>
  <dcterms:created xsi:type="dcterms:W3CDTF">2024-09-03T21:51:00Z</dcterms:created>
  <dcterms:modified xsi:type="dcterms:W3CDTF">2025-12-03T18:54:00Z</dcterms:modified>
</cp:coreProperties>
</file>