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F1CF" w14:textId="77777777" w:rsidR="00974478" w:rsidRPr="007574B9" w:rsidRDefault="00974478" w:rsidP="00974478">
      <w:pPr>
        <w:tabs>
          <w:tab w:val="left" w:pos="3221"/>
        </w:tabs>
      </w:pPr>
    </w:p>
    <w:p w14:paraId="56437148" w14:textId="77777777" w:rsidR="00974478" w:rsidRPr="007574B9" w:rsidRDefault="00974478" w:rsidP="00974478">
      <w:pPr>
        <w:tabs>
          <w:tab w:val="left" w:pos="3221"/>
        </w:tabs>
      </w:pPr>
    </w:p>
    <w:p w14:paraId="745DC440" w14:textId="77777777" w:rsidR="00974478" w:rsidRPr="007574B9" w:rsidRDefault="00974478" w:rsidP="00974478">
      <w:pPr>
        <w:tabs>
          <w:tab w:val="left" w:pos="3221"/>
        </w:tabs>
      </w:pPr>
    </w:p>
    <w:p w14:paraId="4C3EB712" w14:textId="77777777" w:rsidR="00974478" w:rsidRPr="007574B9" w:rsidRDefault="00974478" w:rsidP="00974478">
      <w:pPr>
        <w:tabs>
          <w:tab w:val="left" w:pos="3221"/>
        </w:tabs>
      </w:pPr>
    </w:p>
    <w:p w14:paraId="1D021611" w14:textId="77777777" w:rsidR="00974478" w:rsidRPr="007574B9" w:rsidRDefault="00974478" w:rsidP="00974478">
      <w:pPr>
        <w:spacing w:line="276" w:lineRule="auto"/>
        <w:jc w:val="center"/>
        <w:outlineLvl w:val="0"/>
        <w:rPr>
          <w:rFonts w:ascii="Arial" w:hAnsi="Arial" w:cs="Arial"/>
          <w:b/>
          <w:sz w:val="72"/>
          <w:szCs w:val="72"/>
        </w:rPr>
      </w:pPr>
    </w:p>
    <w:p w14:paraId="74154C8F" w14:textId="77777777" w:rsidR="00974478" w:rsidRPr="007574B9" w:rsidRDefault="00974478" w:rsidP="00974478">
      <w:pPr>
        <w:spacing w:line="276" w:lineRule="auto"/>
        <w:jc w:val="center"/>
        <w:outlineLvl w:val="0"/>
        <w:rPr>
          <w:rFonts w:ascii="Arial" w:hAnsi="Arial" w:cs="Arial"/>
          <w:b/>
          <w:sz w:val="48"/>
          <w:szCs w:val="48"/>
        </w:rPr>
      </w:pPr>
      <w:r w:rsidRPr="007574B9">
        <w:rPr>
          <w:rFonts w:ascii="Arial" w:hAnsi="Arial" w:cs="Arial"/>
          <w:b/>
          <w:sz w:val="48"/>
          <w:szCs w:val="48"/>
        </w:rPr>
        <w:t xml:space="preserve">PROGRAMA DE TRANSPARENCIA Y ÉTICA PÚBLICA </w:t>
      </w:r>
    </w:p>
    <w:p w14:paraId="7027079A" w14:textId="77777777" w:rsidR="00974478" w:rsidRPr="007574B9" w:rsidRDefault="00974478" w:rsidP="00974478">
      <w:pPr>
        <w:spacing w:line="276" w:lineRule="auto"/>
        <w:jc w:val="center"/>
        <w:outlineLvl w:val="0"/>
        <w:rPr>
          <w:rFonts w:ascii="Arial" w:hAnsi="Arial" w:cs="Arial"/>
          <w:b/>
          <w:sz w:val="48"/>
          <w:szCs w:val="48"/>
        </w:rPr>
      </w:pPr>
    </w:p>
    <w:p w14:paraId="245B9050" w14:textId="77777777" w:rsidR="00974478" w:rsidRPr="007574B9" w:rsidRDefault="00974478" w:rsidP="00974478">
      <w:pPr>
        <w:spacing w:line="276" w:lineRule="auto"/>
        <w:jc w:val="center"/>
        <w:outlineLvl w:val="0"/>
        <w:rPr>
          <w:rFonts w:ascii="Arial" w:hAnsi="Arial" w:cs="Arial"/>
          <w:b/>
          <w:sz w:val="48"/>
          <w:szCs w:val="48"/>
        </w:rPr>
      </w:pPr>
    </w:p>
    <w:p w14:paraId="67BC2028" w14:textId="77777777" w:rsidR="00974478" w:rsidRPr="007574B9" w:rsidRDefault="00974478" w:rsidP="00974478">
      <w:pPr>
        <w:spacing w:line="276" w:lineRule="auto"/>
        <w:jc w:val="center"/>
        <w:outlineLvl w:val="0"/>
        <w:rPr>
          <w:rFonts w:ascii="Arial" w:hAnsi="Arial" w:cs="Arial"/>
          <w:b/>
          <w:sz w:val="48"/>
          <w:szCs w:val="48"/>
        </w:rPr>
      </w:pPr>
    </w:p>
    <w:p w14:paraId="372A893B" w14:textId="77777777" w:rsidR="00974478" w:rsidRPr="007574B9" w:rsidRDefault="00974478" w:rsidP="00974478">
      <w:pPr>
        <w:spacing w:line="276" w:lineRule="auto"/>
        <w:jc w:val="center"/>
        <w:outlineLvl w:val="0"/>
        <w:rPr>
          <w:rFonts w:ascii="Arial" w:hAnsi="Arial" w:cs="Arial"/>
          <w:b/>
          <w:sz w:val="48"/>
          <w:szCs w:val="48"/>
        </w:rPr>
      </w:pPr>
    </w:p>
    <w:p w14:paraId="75DF6915" w14:textId="77777777" w:rsidR="00974478" w:rsidRPr="007574B9" w:rsidRDefault="00974478" w:rsidP="00974478">
      <w:pPr>
        <w:spacing w:line="276" w:lineRule="auto"/>
        <w:jc w:val="center"/>
        <w:outlineLvl w:val="0"/>
        <w:rPr>
          <w:rFonts w:ascii="Arial" w:hAnsi="Arial" w:cs="Arial"/>
          <w:b/>
          <w:sz w:val="48"/>
          <w:szCs w:val="48"/>
        </w:rPr>
      </w:pPr>
      <w:r w:rsidRPr="007574B9">
        <w:rPr>
          <w:rFonts w:ascii="Arial" w:hAnsi="Arial" w:cs="Arial"/>
          <w:b/>
          <w:sz w:val="48"/>
          <w:szCs w:val="48"/>
        </w:rPr>
        <w:t>PROMOTORA DE EVENTOS Y TURISMO SAS</w:t>
      </w:r>
    </w:p>
    <w:p w14:paraId="16CF43DE" w14:textId="77777777" w:rsidR="00974478" w:rsidRPr="007574B9" w:rsidRDefault="00974478" w:rsidP="00974478">
      <w:pPr>
        <w:spacing w:line="276" w:lineRule="auto"/>
        <w:jc w:val="center"/>
        <w:outlineLvl w:val="0"/>
        <w:rPr>
          <w:rFonts w:ascii="Arial" w:hAnsi="Arial" w:cs="Arial"/>
          <w:b/>
          <w:sz w:val="48"/>
          <w:szCs w:val="48"/>
        </w:rPr>
      </w:pPr>
    </w:p>
    <w:p w14:paraId="286B4B3B" w14:textId="77777777" w:rsidR="00974478" w:rsidRPr="007574B9" w:rsidRDefault="00974478" w:rsidP="00974478">
      <w:pPr>
        <w:spacing w:line="276" w:lineRule="auto"/>
        <w:jc w:val="center"/>
        <w:outlineLvl w:val="0"/>
        <w:rPr>
          <w:rFonts w:ascii="Arial" w:hAnsi="Arial" w:cs="Arial"/>
          <w:b/>
          <w:sz w:val="48"/>
          <w:szCs w:val="48"/>
        </w:rPr>
      </w:pPr>
    </w:p>
    <w:p w14:paraId="3731D706" w14:textId="77777777" w:rsidR="00974478" w:rsidRPr="007574B9" w:rsidRDefault="00974478" w:rsidP="00974478">
      <w:pPr>
        <w:spacing w:line="276" w:lineRule="auto"/>
        <w:jc w:val="center"/>
        <w:outlineLvl w:val="0"/>
        <w:rPr>
          <w:rFonts w:ascii="Arial" w:hAnsi="Arial" w:cs="Arial"/>
          <w:b/>
          <w:sz w:val="48"/>
          <w:szCs w:val="48"/>
        </w:rPr>
      </w:pPr>
    </w:p>
    <w:p w14:paraId="0E12CAB0" w14:textId="77777777" w:rsidR="00974478" w:rsidRPr="007574B9" w:rsidRDefault="00974478" w:rsidP="00974478">
      <w:pPr>
        <w:spacing w:line="276" w:lineRule="auto"/>
        <w:jc w:val="center"/>
        <w:outlineLvl w:val="0"/>
        <w:rPr>
          <w:rFonts w:ascii="Arial" w:hAnsi="Arial" w:cs="Arial"/>
          <w:b/>
          <w:sz w:val="48"/>
          <w:szCs w:val="48"/>
        </w:rPr>
      </w:pPr>
    </w:p>
    <w:p w14:paraId="01F67CAF" w14:textId="0664CFD3" w:rsidR="00974478" w:rsidRPr="007574B9" w:rsidRDefault="007574B9" w:rsidP="00974478">
      <w:pPr>
        <w:spacing w:line="276" w:lineRule="auto"/>
        <w:jc w:val="center"/>
        <w:outlineLvl w:val="0"/>
        <w:rPr>
          <w:rFonts w:ascii="Arial" w:hAnsi="Arial" w:cs="Arial"/>
          <w:b/>
          <w:sz w:val="48"/>
          <w:szCs w:val="48"/>
        </w:rPr>
      </w:pPr>
      <w:r w:rsidRPr="007574B9">
        <w:rPr>
          <w:rFonts w:ascii="Arial" w:hAnsi="Arial" w:cs="Arial"/>
          <w:b/>
          <w:sz w:val="48"/>
          <w:szCs w:val="48"/>
        </w:rPr>
        <w:t>ENERO</w:t>
      </w:r>
      <w:r w:rsidR="00974478" w:rsidRPr="007574B9">
        <w:rPr>
          <w:rFonts w:ascii="Arial" w:hAnsi="Arial" w:cs="Arial"/>
          <w:b/>
          <w:sz w:val="48"/>
          <w:szCs w:val="48"/>
        </w:rPr>
        <w:t xml:space="preserve"> DE 202</w:t>
      </w:r>
      <w:r w:rsidRPr="007574B9">
        <w:rPr>
          <w:rFonts w:ascii="Arial" w:hAnsi="Arial" w:cs="Arial"/>
          <w:b/>
          <w:sz w:val="48"/>
          <w:szCs w:val="48"/>
        </w:rPr>
        <w:t>5</w:t>
      </w:r>
    </w:p>
    <w:p w14:paraId="681A08A2" w14:textId="77777777" w:rsidR="00974478" w:rsidRPr="007574B9" w:rsidRDefault="00974478" w:rsidP="00974478">
      <w:pPr>
        <w:spacing w:line="276" w:lineRule="auto"/>
        <w:jc w:val="center"/>
        <w:outlineLvl w:val="0"/>
        <w:rPr>
          <w:rFonts w:ascii="Arial" w:hAnsi="Arial" w:cs="Arial"/>
          <w:b/>
          <w:sz w:val="23"/>
          <w:szCs w:val="23"/>
        </w:rPr>
      </w:pPr>
    </w:p>
    <w:p w14:paraId="49CA1E7F" w14:textId="77777777" w:rsidR="00974478" w:rsidRPr="007574B9" w:rsidRDefault="00974478" w:rsidP="00974478">
      <w:pPr>
        <w:spacing w:line="276" w:lineRule="auto"/>
        <w:jc w:val="center"/>
        <w:outlineLvl w:val="0"/>
        <w:rPr>
          <w:rFonts w:ascii="Arial" w:hAnsi="Arial" w:cs="Arial"/>
          <w:b/>
          <w:sz w:val="23"/>
          <w:szCs w:val="23"/>
        </w:rPr>
      </w:pPr>
    </w:p>
    <w:p w14:paraId="3125BA7F" w14:textId="77777777" w:rsidR="007574B9" w:rsidRPr="007574B9" w:rsidRDefault="007574B9" w:rsidP="00974478">
      <w:pPr>
        <w:spacing w:line="276" w:lineRule="auto"/>
        <w:jc w:val="center"/>
        <w:outlineLvl w:val="0"/>
        <w:rPr>
          <w:rFonts w:ascii="Arial" w:hAnsi="Arial" w:cs="Arial"/>
          <w:b/>
          <w:sz w:val="22"/>
          <w:szCs w:val="22"/>
        </w:rPr>
      </w:pPr>
    </w:p>
    <w:p w14:paraId="2BBD9CD5" w14:textId="62D21969" w:rsidR="00974478" w:rsidRPr="007574B9" w:rsidRDefault="00974478" w:rsidP="00974478">
      <w:pPr>
        <w:spacing w:line="276" w:lineRule="auto"/>
        <w:jc w:val="center"/>
        <w:outlineLvl w:val="0"/>
        <w:rPr>
          <w:rFonts w:ascii="Arial" w:hAnsi="Arial" w:cs="Arial"/>
          <w:b/>
          <w:sz w:val="22"/>
          <w:szCs w:val="22"/>
        </w:rPr>
      </w:pPr>
      <w:r w:rsidRPr="007574B9">
        <w:rPr>
          <w:rFonts w:ascii="Arial" w:hAnsi="Arial" w:cs="Arial"/>
          <w:b/>
          <w:sz w:val="22"/>
          <w:szCs w:val="22"/>
        </w:rPr>
        <w:lastRenderedPageBreak/>
        <w:t>PROGRAMA DE TRANSPARENCIA Y ÉTICA PÚBLICA</w:t>
      </w:r>
    </w:p>
    <w:p w14:paraId="243650ED" w14:textId="77777777" w:rsidR="00974478" w:rsidRPr="007574B9" w:rsidRDefault="00974478" w:rsidP="00974478">
      <w:pPr>
        <w:spacing w:line="276" w:lineRule="auto"/>
        <w:jc w:val="center"/>
        <w:outlineLvl w:val="0"/>
        <w:rPr>
          <w:rFonts w:ascii="Arial" w:hAnsi="Arial" w:cs="Arial"/>
          <w:b/>
          <w:sz w:val="22"/>
          <w:szCs w:val="22"/>
        </w:rPr>
      </w:pPr>
    </w:p>
    <w:p w14:paraId="52CB5AC1"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INTRODUCCIÓN</w:t>
      </w:r>
    </w:p>
    <w:p w14:paraId="5E6582F7" w14:textId="77777777" w:rsidR="00974478" w:rsidRPr="007574B9" w:rsidRDefault="00974478" w:rsidP="00974478">
      <w:pPr>
        <w:spacing w:line="276" w:lineRule="auto"/>
        <w:jc w:val="both"/>
        <w:outlineLvl w:val="0"/>
        <w:rPr>
          <w:rFonts w:ascii="Arial" w:hAnsi="Arial" w:cs="Arial"/>
          <w:b/>
          <w:sz w:val="22"/>
          <w:szCs w:val="22"/>
        </w:rPr>
      </w:pPr>
    </w:p>
    <w:p w14:paraId="775E2A4C"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MARCO LEGAL</w:t>
      </w:r>
    </w:p>
    <w:p w14:paraId="7289AD60" w14:textId="77777777" w:rsidR="00974478" w:rsidRPr="007574B9" w:rsidRDefault="00974478" w:rsidP="00974478">
      <w:pPr>
        <w:spacing w:line="276" w:lineRule="auto"/>
        <w:jc w:val="both"/>
        <w:outlineLvl w:val="0"/>
        <w:rPr>
          <w:rFonts w:ascii="Arial" w:hAnsi="Arial" w:cs="Arial"/>
          <w:b/>
          <w:sz w:val="22"/>
          <w:szCs w:val="22"/>
        </w:rPr>
      </w:pPr>
    </w:p>
    <w:p w14:paraId="26CD412D"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OBJETIVO GENERAL</w:t>
      </w:r>
    </w:p>
    <w:p w14:paraId="2B4A1438" w14:textId="77777777" w:rsidR="00974478" w:rsidRPr="007574B9" w:rsidRDefault="00974478" w:rsidP="00974478">
      <w:pPr>
        <w:spacing w:line="276" w:lineRule="auto"/>
        <w:jc w:val="both"/>
        <w:outlineLvl w:val="0"/>
        <w:rPr>
          <w:rFonts w:ascii="Arial" w:hAnsi="Arial" w:cs="Arial"/>
          <w:b/>
          <w:sz w:val="22"/>
          <w:szCs w:val="22"/>
        </w:rPr>
      </w:pPr>
    </w:p>
    <w:p w14:paraId="53F67D03"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OBJETIVOS ESPECÍFICOS </w:t>
      </w:r>
    </w:p>
    <w:p w14:paraId="3226BFAC" w14:textId="77777777" w:rsidR="00974478" w:rsidRPr="007574B9" w:rsidRDefault="00974478" w:rsidP="00974478">
      <w:pPr>
        <w:spacing w:line="276" w:lineRule="auto"/>
        <w:jc w:val="both"/>
        <w:outlineLvl w:val="0"/>
        <w:rPr>
          <w:rFonts w:ascii="Arial" w:hAnsi="Arial" w:cs="Arial"/>
          <w:b/>
          <w:sz w:val="22"/>
          <w:szCs w:val="22"/>
        </w:rPr>
      </w:pPr>
    </w:p>
    <w:p w14:paraId="1393EC53"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ALCANCE </w:t>
      </w:r>
    </w:p>
    <w:p w14:paraId="2CDDE087" w14:textId="77777777" w:rsidR="00974478" w:rsidRPr="007574B9" w:rsidRDefault="00974478" w:rsidP="00974478">
      <w:pPr>
        <w:spacing w:line="276" w:lineRule="auto"/>
        <w:jc w:val="both"/>
        <w:outlineLvl w:val="0"/>
        <w:rPr>
          <w:rFonts w:ascii="Arial" w:hAnsi="Arial" w:cs="Arial"/>
          <w:b/>
          <w:sz w:val="22"/>
          <w:szCs w:val="22"/>
        </w:rPr>
      </w:pPr>
    </w:p>
    <w:p w14:paraId="56FB739B"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COMPONENTES DEL PROGRAMA DE TRANSPARENCIA </w:t>
      </w:r>
    </w:p>
    <w:p w14:paraId="078EF5FA" w14:textId="77777777" w:rsidR="00974478" w:rsidRPr="007574B9" w:rsidRDefault="00974478" w:rsidP="00974478">
      <w:pPr>
        <w:pStyle w:val="Prrafodelista"/>
        <w:numPr>
          <w:ilvl w:val="0"/>
          <w:numId w:val="1"/>
        </w:numPr>
        <w:spacing w:after="160" w:line="360" w:lineRule="auto"/>
        <w:jc w:val="both"/>
        <w:outlineLvl w:val="0"/>
        <w:rPr>
          <w:rFonts w:ascii="Arial" w:hAnsi="Arial" w:cs="Arial"/>
          <w:b/>
          <w:sz w:val="22"/>
          <w:szCs w:val="22"/>
        </w:rPr>
      </w:pPr>
      <w:r w:rsidRPr="007574B9">
        <w:rPr>
          <w:rFonts w:ascii="Arial" w:hAnsi="Arial" w:cs="Arial"/>
          <w:b/>
          <w:sz w:val="22"/>
          <w:szCs w:val="22"/>
        </w:rPr>
        <w:t xml:space="preserve">MEDIDAS DE DEBIDA DILIGENCIA </w:t>
      </w:r>
    </w:p>
    <w:p w14:paraId="127F242E" w14:textId="77777777" w:rsidR="00974478" w:rsidRPr="007574B9" w:rsidRDefault="00974478" w:rsidP="00974478">
      <w:pPr>
        <w:pStyle w:val="Prrafodelista"/>
        <w:numPr>
          <w:ilvl w:val="0"/>
          <w:numId w:val="1"/>
        </w:numPr>
        <w:spacing w:after="160" w:line="360" w:lineRule="auto"/>
        <w:jc w:val="both"/>
        <w:outlineLvl w:val="0"/>
        <w:rPr>
          <w:rFonts w:ascii="Arial" w:hAnsi="Arial" w:cs="Arial"/>
          <w:b/>
          <w:sz w:val="22"/>
          <w:szCs w:val="22"/>
        </w:rPr>
      </w:pPr>
      <w:r w:rsidRPr="007574B9">
        <w:rPr>
          <w:rFonts w:ascii="Arial" w:hAnsi="Arial" w:cs="Arial"/>
          <w:b/>
          <w:sz w:val="22"/>
          <w:szCs w:val="22"/>
        </w:rPr>
        <w:t>PREVENCIÓN, GESTIÓN Y ADMINISTRACIÓN DE RIESGOS DE CORRUPCIÓN</w:t>
      </w:r>
    </w:p>
    <w:p w14:paraId="329BC091" w14:textId="77777777" w:rsidR="00974478" w:rsidRPr="007574B9" w:rsidRDefault="00974478" w:rsidP="00974478">
      <w:pPr>
        <w:pStyle w:val="Prrafodelista"/>
        <w:numPr>
          <w:ilvl w:val="0"/>
          <w:numId w:val="1"/>
        </w:numPr>
        <w:spacing w:after="160" w:line="360" w:lineRule="auto"/>
        <w:jc w:val="both"/>
        <w:outlineLvl w:val="0"/>
        <w:rPr>
          <w:rFonts w:ascii="Arial" w:hAnsi="Arial" w:cs="Arial"/>
          <w:b/>
          <w:sz w:val="22"/>
          <w:szCs w:val="22"/>
        </w:rPr>
      </w:pPr>
      <w:r w:rsidRPr="007574B9">
        <w:rPr>
          <w:rFonts w:ascii="Arial" w:hAnsi="Arial" w:cs="Arial"/>
          <w:b/>
          <w:sz w:val="22"/>
          <w:szCs w:val="22"/>
        </w:rPr>
        <w:t xml:space="preserve">REDES INTERINSTITUCIONALES PARA EL FORTALECIMIENTO DE PREVENCIÓN DE ACTOS DE CORRUPCIÓN, TRANSPARENCIA Y LEGALIDAD </w:t>
      </w:r>
    </w:p>
    <w:p w14:paraId="1C375BEF" w14:textId="77777777" w:rsidR="00974478" w:rsidRPr="007574B9" w:rsidRDefault="00974478" w:rsidP="00974478">
      <w:pPr>
        <w:pStyle w:val="Prrafodelista"/>
        <w:numPr>
          <w:ilvl w:val="0"/>
          <w:numId w:val="1"/>
        </w:numPr>
        <w:spacing w:after="160" w:line="360" w:lineRule="auto"/>
        <w:jc w:val="both"/>
        <w:outlineLvl w:val="0"/>
        <w:rPr>
          <w:rFonts w:ascii="Arial" w:hAnsi="Arial" w:cs="Arial"/>
          <w:b/>
          <w:sz w:val="22"/>
          <w:szCs w:val="22"/>
        </w:rPr>
      </w:pPr>
      <w:r w:rsidRPr="007574B9">
        <w:rPr>
          <w:rFonts w:ascii="Arial" w:hAnsi="Arial" w:cs="Arial"/>
          <w:b/>
          <w:sz w:val="22"/>
          <w:szCs w:val="22"/>
        </w:rPr>
        <w:t xml:space="preserve">CANALES DE DENUNCIA </w:t>
      </w:r>
    </w:p>
    <w:p w14:paraId="12CEB0D3" w14:textId="77777777" w:rsidR="00974478" w:rsidRPr="007574B9" w:rsidRDefault="00974478" w:rsidP="00974478">
      <w:pPr>
        <w:pStyle w:val="Prrafodelista"/>
        <w:numPr>
          <w:ilvl w:val="0"/>
          <w:numId w:val="1"/>
        </w:numPr>
        <w:spacing w:after="160" w:line="360" w:lineRule="auto"/>
        <w:jc w:val="both"/>
        <w:outlineLvl w:val="0"/>
        <w:rPr>
          <w:rFonts w:ascii="Arial" w:hAnsi="Arial" w:cs="Arial"/>
          <w:b/>
          <w:sz w:val="22"/>
          <w:szCs w:val="22"/>
        </w:rPr>
      </w:pPr>
      <w:r w:rsidRPr="007574B9">
        <w:rPr>
          <w:rFonts w:ascii="Arial" w:hAnsi="Arial" w:cs="Arial"/>
          <w:b/>
          <w:sz w:val="22"/>
          <w:szCs w:val="22"/>
        </w:rPr>
        <w:t xml:space="preserve">ESTRATEGIAS DE TRANSPARENCIA Y ACCESO A LA INFORMACIÓN PÚBLICA, SERVICIO AL CIUDADANO Y RENDICIÓN DE CUENTAS </w:t>
      </w:r>
    </w:p>
    <w:p w14:paraId="1E624FB1" w14:textId="77777777" w:rsidR="00974478" w:rsidRPr="007574B9" w:rsidRDefault="00974478" w:rsidP="00974478">
      <w:pPr>
        <w:pStyle w:val="Prrafodelista"/>
        <w:numPr>
          <w:ilvl w:val="0"/>
          <w:numId w:val="1"/>
        </w:numPr>
        <w:spacing w:after="160" w:line="360" w:lineRule="auto"/>
        <w:jc w:val="both"/>
        <w:outlineLvl w:val="0"/>
        <w:rPr>
          <w:rFonts w:ascii="Arial" w:hAnsi="Arial" w:cs="Arial"/>
          <w:b/>
          <w:sz w:val="22"/>
          <w:szCs w:val="22"/>
        </w:rPr>
      </w:pPr>
      <w:r w:rsidRPr="007574B9">
        <w:rPr>
          <w:rFonts w:ascii="Arial" w:hAnsi="Arial" w:cs="Arial"/>
          <w:b/>
          <w:sz w:val="22"/>
          <w:szCs w:val="22"/>
        </w:rPr>
        <w:t xml:space="preserve">INICIATIVAS ADICIONALES </w:t>
      </w:r>
    </w:p>
    <w:p w14:paraId="3C980641" w14:textId="77777777" w:rsidR="00974478" w:rsidRPr="007574B9" w:rsidRDefault="00974478" w:rsidP="00974478">
      <w:pPr>
        <w:spacing w:line="276" w:lineRule="auto"/>
        <w:jc w:val="both"/>
        <w:outlineLvl w:val="0"/>
        <w:rPr>
          <w:rFonts w:ascii="Arial" w:hAnsi="Arial" w:cs="Arial"/>
          <w:b/>
          <w:sz w:val="22"/>
          <w:szCs w:val="22"/>
        </w:rPr>
      </w:pPr>
    </w:p>
    <w:p w14:paraId="2F34B3FF"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ESTRATEGIA DE SOCIALIZACIÓN </w:t>
      </w:r>
    </w:p>
    <w:p w14:paraId="13EA02F3" w14:textId="77777777" w:rsidR="00974478" w:rsidRPr="007574B9" w:rsidRDefault="00974478" w:rsidP="00974478">
      <w:pPr>
        <w:spacing w:line="276" w:lineRule="auto"/>
        <w:jc w:val="both"/>
        <w:outlineLvl w:val="0"/>
        <w:rPr>
          <w:rFonts w:ascii="Arial" w:hAnsi="Arial" w:cs="Arial"/>
          <w:b/>
          <w:sz w:val="22"/>
          <w:szCs w:val="22"/>
        </w:rPr>
      </w:pPr>
    </w:p>
    <w:p w14:paraId="137FD86E"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ESTRATEGIA DE SEGUIMIENTO </w:t>
      </w:r>
    </w:p>
    <w:p w14:paraId="2A9EB79F" w14:textId="77777777" w:rsidR="00974478" w:rsidRPr="007574B9" w:rsidRDefault="00974478" w:rsidP="00974478">
      <w:pPr>
        <w:spacing w:line="276" w:lineRule="auto"/>
        <w:jc w:val="both"/>
        <w:outlineLvl w:val="0"/>
        <w:rPr>
          <w:rFonts w:ascii="Arial" w:hAnsi="Arial" w:cs="Arial"/>
          <w:b/>
          <w:sz w:val="22"/>
          <w:szCs w:val="22"/>
        </w:rPr>
      </w:pPr>
    </w:p>
    <w:p w14:paraId="25F7296D"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PERIODICIDAD DE SEGUIMIENTO Y PUBLICACIÓN </w:t>
      </w:r>
    </w:p>
    <w:p w14:paraId="15FD0C33" w14:textId="77777777" w:rsidR="00974478" w:rsidRPr="007574B9" w:rsidRDefault="00974478" w:rsidP="00974478">
      <w:pPr>
        <w:spacing w:line="276" w:lineRule="auto"/>
        <w:jc w:val="both"/>
        <w:outlineLvl w:val="0"/>
        <w:rPr>
          <w:rFonts w:ascii="Arial" w:hAnsi="Arial" w:cs="Arial"/>
          <w:b/>
          <w:sz w:val="22"/>
          <w:szCs w:val="22"/>
        </w:rPr>
      </w:pPr>
    </w:p>
    <w:p w14:paraId="27C9AC96"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INDICADORES</w:t>
      </w:r>
    </w:p>
    <w:p w14:paraId="7EEEC8D6" w14:textId="77777777" w:rsidR="00974478" w:rsidRPr="007574B9" w:rsidRDefault="00974478" w:rsidP="00974478">
      <w:pPr>
        <w:spacing w:line="276" w:lineRule="auto"/>
        <w:jc w:val="both"/>
        <w:outlineLvl w:val="0"/>
        <w:rPr>
          <w:rFonts w:ascii="Arial" w:hAnsi="Arial" w:cs="Arial"/>
          <w:b/>
          <w:sz w:val="22"/>
          <w:szCs w:val="22"/>
        </w:rPr>
      </w:pPr>
    </w:p>
    <w:p w14:paraId="299BAB7C"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ANEXOS </w:t>
      </w:r>
    </w:p>
    <w:p w14:paraId="540E83B2" w14:textId="77777777" w:rsidR="00974478" w:rsidRPr="007574B9" w:rsidRDefault="00974478" w:rsidP="00974478">
      <w:pPr>
        <w:spacing w:line="276" w:lineRule="auto"/>
        <w:jc w:val="both"/>
        <w:outlineLvl w:val="0"/>
        <w:rPr>
          <w:rFonts w:ascii="Arial" w:hAnsi="Arial" w:cs="Arial"/>
          <w:b/>
          <w:sz w:val="22"/>
          <w:szCs w:val="22"/>
        </w:rPr>
      </w:pPr>
    </w:p>
    <w:p w14:paraId="4BDF20B9" w14:textId="0F705C74" w:rsidR="00974478" w:rsidRPr="007574B9" w:rsidRDefault="00974478" w:rsidP="00974478">
      <w:pPr>
        <w:spacing w:line="276" w:lineRule="auto"/>
        <w:jc w:val="both"/>
        <w:outlineLvl w:val="0"/>
        <w:rPr>
          <w:rFonts w:ascii="Arial" w:hAnsi="Arial" w:cs="Arial"/>
          <w:b/>
          <w:sz w:val="22"/>
          <w:szCs w:val="22"/>
        </w:rPr>
      </w:pPr>
    </w:p>
    <w:p w14:paraId="64977819" w14:textId="21E74C7F" w:rsidR="007574B9" w:rsidRPr="007574B9" w:rsidRDefault="007574B9" w:rsidP="00974478">
      <w:pPr>
        <w:spacing w:line="276" w:lineRule="auto"/>
        <w:jc w:val="both"/>
        <w:outlineLvl w:val="0"/>
        <w:rPr>
          <w:rFonts w:ascii="Arial" w:hAnsi="Arial" w:cs="Arial"/>
          <w:b/>
          <w:sz w:val="22"/>
          <w:szCs w:val="22"/>
        </w:rPr>
      </w:pPr>
    </w:p>
    <w:p w14:paraId="416E6FD1" w14:textId="77777777" w:rsidR="007574B9" w:rsidRPr="007574B9" w:rsidRDefault="007574B9" w:rsidP="00974478">
      <w:pPr>
        <w:spacing w:line="276" w:lineRule="auto"/>
        <w:jc w:val="both"/>
        <w:outlineLvl w:val="0"/>
        <w:rPr>
          <w:rFonts w:ascii="Arial" w:hAnsi="Arial" w:cs="Arial"/>
          <w:b/>
          <w:sz w:val="22"/>
          <w:szCs w:val="22"/>
        </w:rPr>
      </w:pPr>
    </w:p>
    <w:p w14:paraId="49F749F9"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lastRenderedPageBreak/>
        <w:t xml:space="preserve">INTRODUCCIÓN </w:t>
      </w:r>
    </w:p>
    <w:p w14:paraId="2EDDBD75" w14:textId="77777777" w:rsidR="00974478" w:rsidRPr="007574B9" w:rsidRDefault="00974478" w:rsidP="00974478">
      <w:pPr>
        <w:spacing w:line="276" w:lineRule="auto"/>
        <w:jc w:val="both"/>
        <w:outlineLvl w:val="0"/>
        <w:rPr>
          <w:rFonts w:ascii="Arial" w:hAnsi="Arial" w:cs="Arial"/>
          <w:b/>
          <w:sz w:val="22"/>
          <w:szCs w:val="22"/>
        </w:rPr>
      </w:pPr>
    </w:p>
    <w:p w14:paraId="0BBA0FD8" w14:textId="710BFE0C" w:rsidR="00974478" w:rsidRDefault="00974478" w:rsidP="00974478">
      <w:pPr>
        <w:spacing w:line="276" w:lineRule="auto"/>
        <w:jc w:val="both"/>
        <w:outlineLvl w:val="0"/>
        <w:rPr>
          <w:rFonts w:ascii="Arial" w:eastAsia="ArialMT" w:hAnsi="Arial" w:cs="Arial"/>
          <w:sz w:val="22"/>
          <w:szCs w:val="22"/>
        </w:rPr>
      </w:pPr>
      <w:r w:rsidRPr="007574B9">
        <w:rPr>
          <w:rFonts w:ascii="Arial" w:hAnsi="Arial" w:cs="Arial"/>
          <w:sz w:val="22"/>
          <w:szCs w:val="22"/>
        </w:rPr>
        <w:t xml:space="preserve">La Promotora de Eventos y Turismo SAS, en aras de fortalecer la lucha contra la corrupción, fomentar la integridad pública y dar cumplimiento a las disposiciones legales vigentes y las políticas nacionales enfocadas en la modernización, eficiencia, transparencia y lucha contra la corrupción, ha diseñado el Programa de Transparencia y Ética Pública. Lo anterior, de conformidad a los lineamientos establecidos en la Ley 2195 de 2022; la cual en su Artículo 31 establece que </w:t>
      </w:r>
      <w:r w:rsidRPr="007574B9">
        <w:rPr>
          <w:rFonts w:ascii="Arial" w:hAnsi="Arial" w:cs="Arial"/>
          <w:i/>
          <w:iCs/>
          <w:sz w:val="22"/>
          <w:szCs w:val="22"/>
        </w:rPr>
        <w:t>“Cada entidad del orden nacional, departamental y municipal, cualquiera que sea su régimen de contratación, deberá implementar Programas de Transparencia y Ética Publica con el fin de promover la cultura de la legalidad e identificar, medir, controlar y monitorear constantemente el riesgo de corrupción en el desarrollo de su misionalidad (…)”</w:t>
      </w:r>
      <w:r w:rsidRPr="007574B9">
        <w:rPr>
          <w:rFonts w:ascii="Arial" w:hAnsi="Arial" w:cs="Arial"/>
          <w:sz w:val="22"/>
          <w:szCs w:val="22"/>
        </w:rPr>
        <w:t xml:space="preserve">. Este programa está integrado por seis (6) componentes </w:t>
      </w:r>
      <w:r w:rsidRPr="007574B9">
        <w:rPr>
          <w:rFonts w:ascii="Arial" w:eastAsia="ArialMT" w:hAnsi="Arial" w:cs="Arial"/>
          <w:sz w:val="22"/>
          <w:szCs w:val="22"/>
        </w:rPr>
        <w:t xml:space="preserve">independientes, que cuentan con parámetros y soportes normativos propios y se alinea con lo establecido en el Decreto 1499 de 2017 - Modelo Integrado de Planeación y Gestión - MIPG y las Políticas de Gestión y Desempeño Institucional, que operativamente lo desarrollan las siguientes dimensiones: Control Interno, Gestión con Valores para Resultados e Información y Comunicación. </w:t>
      </w:r>
    </w:p>
    <w:p w14:paraId="741E05D2" w14:textId="77777777" w:rsidR="007574B9" w:rsidRPr="007574B9" w:rsidRDefault="007574B9" w:rsidP="00974478">
      <w:pPr>
        <w:spacing w:line="276" w:lineRule="auto"/>
        <w:jc w:val="both"/>
        <w:outlineLvl w:val="0"/>
        <w:rPr>
          <w:rFonts w:ascii="Arial" w:hAnsi="Arial" w:cs="Arial"/>
          <w:b/>
          <w:sz w:val="22"/>
          <w:szCs w:val="22"/>
        </w:rPr>
      </w:pPr>
    </w:p>
    <w:p w14:paraId="7BFE78E1" w14:textId="3ED2460C" w:rsidR="00974478" w:rsidRDefault="00974478" w:rsidP="00974478">
      <w:pPr>
        <w:jc w:val="both"/>
        <w:rPr>
          <w:rStyle w:val="fontstyle01"/>
          <w:rFonts w:ascii="Arial" w:hAnsi="Arial" w:cs="Arial" w:hint="default"/>
          <w:color w:val="auto"/>
          <w:sz w:val="22"/>
          <w:szCs w:val="22"/>
        </w:rPr>
      </w:pPr>
      <w:r w:rsidRPr="007574B9">
        <w:rPr>
          <w:rStyle w:val="fontstyle01"/>
          <w:rFonts w:ascii="Arial" w:hAnsi="Arial" w:cs="Arial" w:hint="default"/>
          <w:color w:val="auto"/>
          <w:sz w:val="22"/>
          <w:szCs w:val="22"/>
        </w:rPr>
        <w:t xml:space="preserve">Este programa se constituye en una herramienta de control preventivo de la gestión institucional de acuerdo con lo establecido en la Ley 2195 de 2022 y está integrado por los siguientes componentes: 1. Medidas de debida diligencia, 2. Prevención, gestión y administración de riesgos de corrupción, 3. Redes interinstitucionales para el fortalecimiento de prevención de actos de corrupción, transparencia y legalidad, 4. Canales de denuncia, 5. Estrategias de transparencia y acceso a la información pública, servicio al ciudadano y rendición de cuentas y 6. Iniciativas adicionales. </w:t>
      </w:r>
    </w:p>
    <w:p w14:paraId="23D5FE79" w14:textId="77777777" w:rsidR="007574B9" w:rsidRPr="007574B9" w:rsidRDefault="007574B9" w:rsidP="00974478">
      <w:pPr>
        <w:jc w:val="both"/>
        <w:rPr>
          <w:rFonts w:ascii="Arial" w:hAnsi="Arial" w:cs="Arial"/>
          <w:b/>
          <w:sz w:val="22"/>
          <w:szCs w:val="22"/>
        </w:rPr>
      </w:pPr>
    </w:p>
    <w:p w14:paraId="6C703E68" w14:textId="63901FB4" w:rsidR="00974478" w:rsidRDefault="00974478" w:rsidP="00974478">
      <w:pPr>
        <w:jc w:val="both"/>
        <w:rPr>
          <w:rFonts w:ascii="Arial" w:hAnsi="Arial" w:cs="Arial"/>
          <w:sz w:val="22"/>
          <w:szCs w:val="22"/>
        </w:rPr>
      </w:pPr>
      <w:r w:rsidRPr="007574B9">
        <w:rPr>
          <w:rFonts w:ascii="Arial" w:hAnsi="Arial" w:cs="Arial"/>
          <w:sz w:val="22"/>
          <w:szCs w:val="22"/>
        </w:rPr>
        <w:t xml:space="preserve">Para la construcción del Programa de Transparencia y Ética Pública de la Promotora de Eventos y Turismo SAS, se realizó un proceso participativo con los líderes de proceso y servidores de la entidad. Igualmente, se tuvieron en cuenta las recomendaciones y aspectos relevantes del </w:t>
      </w:r>
      <w:r w:rsidR="007574B9">
        <w:rPr>
          <w:rFonts w:ascii="Arial" w:hAnsi="Arial" w:cs="Arial"/>
          <w:sz w:val="22"/>
          <w:szCs w:val="22"/>
        </w:rPr>
        <w:t xml:space="preserve">Programa de Transparencia y Ética Pública </w:t>
      </w:r>
      <w:r w:rsidRPr="007574B9">
        <w:rPr>
          <w:rFonts w:ascii="Arial" w:hAnsi="Arial" w:cs="Arial"/>
          <w:sz w:val="22"/>
          <w:szCs w:val="22"/>
        </w:rPr>
        <w:t>de la vigencia 202</w:t>
      </w:r>
      <w:r w:rsidR="007574B9">
        <w:rPr>
          <w:rFonts w:ascii="Arial" w:hAnsi="Arial" w:cs="Arial"/>
          <w:sz w:val="22"/>
          <w:szCs w:val="22"/>
        </w:rPr>
        <w:t>4</w:t>
      </w:r>
      <w:r w:rsidRPr="007574B9">
        <w:rPr>
          <w:rFonts w:ascii="Arial" w:hAnsi="Arial" w:cs="Arial"/>
          <w:sz w:val="22"/>
          <w:szCs w:val="22"/>
        </w:rPr>
        <w:t xml:space="preserve">. </w:t>
      </w:r>
    </w:p>
    <w:p w14:paraId="2B1D1BA0" w14:textId="77777777" w:rsidR="007574B9" w:rsidRPr="007574B9" w:rsidRDefault="007574B9" w:rsidP="00974478">
      <w:pPr>
        <w:jc w:val="both"/>
        <w:rPr>
          <w:rFonts w:ascii="Arial" w:hAnsi="Arial" w:cs="Arial"/>
          <w:sz w:val="22"/>
          <w:szCs w:val="22"/>
        </w:rPr>
      </w:pPr>
    </w:p>
    <w:p w14:paraId="29170090" w14:textId="77777777" w:rsidR="00974478" w:rsidRPr="007574B9" w:rsidRDefault="00974478" w:rsidP="00974478">
      <w:pPr>
        <w:jc w:val="both"/>
        <w:rPr>
          <w:rFonts w:ascii="Arial" w:hAnsi="Arial" w:cs="Arial"/>
          <w:sz w:val="22"/>
          <w:szCs w:val="22"/>
        </w:rPr>
      </w:pPr>
      <w:r w:rsidRPr="007574B9">
        <w:rPr>
          <w:rFonts w:ascii="Arial" w:hAnsi="Arial" w:cs="Arial"/>
          <w:sz w:val="22"/>
          <w:szCs w:val="22"/>
        </w:rPr>
        <w:t xml:space="preserve">El presente programa busca mejorar las estrategias internas para la identificación y manejo de los posibles hechos susceptibles de corrupción que se puedan generar al interior de la Promotora, desarrollar mecanismos de lucha contra la corrupción y realizar actividades que acerquen la comunidad a la institución pública, a través de la ejecución de los diferentes componentes consignados en este. </w:t>
      </w:r>
    </w:p>
    <w:p w14:paraId="727D53A0" w14:textId="77777777" w:rsidR="00974478" w:rsidRPr="007574B9" w:rsidRDefault="00974478" w:rsidP="00974478">
      <w:pPr>
        <w:rPr>
          <w:rFonts w:ascii="Arial" w:hAnsi="Arial" w:cs="Arial"/>
          <w:sz w:val="22"/>
          <w:szCs w:val="22"/>
        </w:rPr>
      </w:pPr>
    </w:p>
    <w:p w14:paraId="4CFE0D9F" w14:textId="77777777" w:rsidR="00974478" w:rsidRPr="007574B9" w:rsidRDefault="00974478" w:rsidP="00974478">
      <w:pPr>
        <w:rPr>
          <w:rFonts w:ascii="Arial" w:hAnsi="Arial" w:cs="Arial"/>
          <w:b/>
          <w:bCs/>
          <w:sz w:val="22"/>
          <w:szCs w:val="22"/>
        </w:rPr>
      </w:pPr>
    </w:p>
    <w:p w14:paraId="495D6733" w14:textId="77777777" w:rsidR="00974478" w:rsidRPr="007574B9" w:rsidRDefault="00974478" w:rsidP="00974478">
      <w:pPr>
        <w:rPr>
          <w:rFonts w:ascii="Arial" w:hAnsi="Arial" w:cs="Arial"/>
          <w:b/>
          <w:bCs/>
          <w:sz w:val="22"/>
          <w:szCs w:val="22"/>
        </w:rPr>
      </w:pPr>
    </w:p>
    <w:p w14:paraId="1F4CF296" w14:textId="77777777" w:rsidR="00974478" w:rsidRPr="007574B9" w:rsidRDefault="00974478" w:rsidP="00974478">
      <w:pPr>
        <w:rPr>
          <w:rFonts w:ascii="Arial" w:hAnsi="Arial" w:cs="Arial"/>
          <w:b/>
          <w:bCs/>
          <w:sz w:val="22"/>
          <w:szCs w:val="22"/>
        </w:rPr>
      </w:pPr>
    </w:p>
    <w:p w14:paraId="66031CE9" w14:textId="77777777" w:rsidR="00974478" w:rsidRPr="007574B9" w:rsidRDefault="00974478" w:rsidP="00974478">
      <w:pPr>
        <w:rPr>
          <w:rFonts w:ascii="Arial" w:hAnsi="Arial" w:cs="Arial"/>
          <w:b/>
          <w:bCs/>
          <w:sz w:val="22"/>
          <w:szCs w:val="22"/>
        </w:rPr>
      </w:pPr>
    </w:p>
    <w:p w14:paraId="20790E3B" w14:textId="77777777" w:rsidR="00974478" w:rsidRPr="007574B9" w:rsidRDefault="00974478" w:rsidP="00974478">
      <w:pPr>
        <w:rPr>
          <w:rFonts w:ascii="Arial" w:hAnsi="Arial" w:cs="Arial"/>
          <w:b/>
          <w:bCs/>
          <w:sz w:val="22"/>
          <w:szCs w:val="22"/>
        </w:rPr>
      </w:pPr>
    </w:p>
    <w:p w14:paraId="7A0B20D3" w14:textId="77777777" w:rsidR="00974478" w:rsidRPr="007574B9" w:rsidRDefault="00974478" w:rsidP="00974478">
      <w:pPr>
        <w:rPr>
          <w:rFonts w:ascii="Arial" w:hAnsi="Arial" w:cs="Arial"/>
          <w:b/>
          <w:bCs/>
          <w:sz w:val="22"/>
          <w:szCs w:val="22"/>
        </w:rPr>
      </w:pPr>
      <w:r w:rsidRPr="007574B9">
        <w:rPr>
          <w:rFonts w:ascii="Arial" w:hAnsi="Arial" w:cs="Arial"/>
          <w:b/>
          <w:bCs/>
          <w:sz w:val="22"/>
          <w:szCs w:val="22"/>
        </w:rPr>
        <w:lastRenderedPageBreak/>
        <w:t xml:space="preserve">MARCO LEGAL </w:t>
      </w:r>
    </w:p>
    <w:p w14:paraId="17F72E86" w14:textId="77777777" w:rsidR="00974478" w:rsidRPr="007574B9" w:rsidRDefault="00974478" w:rsidP="00974478">
      <w:pPr>
        <w:rPr>
          <w:rFonts w:ascii="Arial" w:hAnsi="Arial" w:cs="Arial"/>
          <w:b/>
          <w:bCs/>
          <w:sz w:val="22"/>
          <w:szCs w:val="22"/>
        </w:rPr>
      </w:pPr>
    </w:p>
    <w:p w14:paraId="00C08581" w14:textId="77777777" w:rsidR="00974478" w:rsidRPr="007574B9" w:rsidRDefault="00974478" w:rsidP="00974478">
      <w:pPr>
        <w:pStyle w:val="Prrafodelista"/>
        <w:numPr>
          <w:ilvl w:val="0"/>
          <w:numId w:val="3"/>
        </w:numPr>
        <w:spacing w:after="160" w:line="259" w:lineRule="auto"/>
        <w:jc w:val="both"/>
        <w:rPr>
          <w:rFonts w:ascii="Arial" w:hAnsi="Arial" w:cs="Arial"/>
          <w:sz w:val="22"/>
          <w:szCs w:val="22"/>
        </w:rPr>
      </w:pPr>
      <w:r w:rsidRPr="007574B9">
        <w:rPr>
          <w:rFonts w:ascii="Arial" w:hAnsi="Arial" w:cs="Arial"/>
          <w:sz w:val="22"/>
          <w:szCs w:val="22"/>
        </w:rPr>
        <w:t xml:space="preserve">Ley 2195 de 2022 - </w:t>
      </w:r>
      <w:r w:rsidRPr="007574B9">
        <w:rPr>
          <w:rFonts w:ascii="Arial" w:eastAsia="ArialMT" w:hAnsi="Arial" w:cs="Arial"/>
          <w:sz w:val="22"/>
          <w:szCs w:val="22"/>
        </w:rPr>
        <w:t>Por medio de la cual se adoptan medidas en materia de transparencia, prevención y lucha contra la corrupción y se dictan otras disposiciones.</w:t>
      </w:r>
    </w:p>
    <w:p w14:paraId="74CE4987"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CONPES 167 de 2013 “Estrategia Nacional de la Política Pública Integral Anticorrupción”.</w:t>
      </w:r>
    </w:p>
    <w:p w14:paraId="28E7AB91" w14:textId="16B99DCC" w:rsidR="00974478" w:rsidRDefault="00974478" w:rsidP="00974478">
      <w:pPr>
        <w:jc w:val="both"/>
        <w:rPr>
          <w:rFonts w:ascii="Arial" w:eastAsia="ArialMT" w:hAnsi="Arial" w:cs="Arial"/>
          <w:sz w:val="22"/>
          <w:szCs w:val="22"/>
        </w:rPr>
      </w:pPr>
      <w:r w:rsidRPr="007574B9">
        <w:rPr>
          <w:rFonts w:ascii="Arial" w:eastAsia="ArialMT" w:hAnsi="Arial" w:cs="Arial"/>
          <w:sz w:val="22"/>
          <w:szCs w:val="22"/>
        </w:rPr>
        <w:t xml:space="preserve">A continuación, se presenta la normatividad legal vigente, aplicable a cada componente del Programa de Transparencia y Ética Pública: </w:t>
      </w:r>
    </w:p>
    <w:p w14:paraId="69E75853" w14:textId="77777777" w:rsidR="007574B9" w:rsidRPr="007574B9" w:rsidRDefault="007574B9" w:rsidP="00974478">
      <w:pPr>
        <w:jc w:val="both"/>
        <w:rPr>
          <w:rFonts w:ascii="Arial" w:eastAsia="ArialMT" w:hAnsi="Arial" w:cs="Arial"/>
          <w:sz w:val="22"/>
          <w:szCs w:val="22"/>
        </w:rPr>
      </w:pPr>
    </w:p>
    <w:p w14:paraId="5AADB1DD"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Prevención, Gestión y Administración de Riesgos de Corrupción</w:t>
      </w:r>
    </w:p>
    <w:p w14:paraId="548D6378" w14:textId="77777777" w:rsidR="00974478" w:rsidRPr="007574B9" w:rsidRDefault="00974478" w:rsidP="00974478">
      <w:pPr>
        <w:pStyle w:val="Prrafodelista"/>
        <w:numPr>
          <w:ilvl w:val="0"/>
          <w:numId w:val="3"/>
        </w:numPr>
        <w:spacing w:after="160" w:line="259" w:lineRule="auto"/>
        <w:jc w:val="both"/>
        <w:rPr>
          <w:rFonts w:ascii="Arial" w:hAnsi="Arial" w:cs="Arial"/>
          <w:b/>
          <w:sz w:val="22"/>
          <w:szCs w:val="22"/>
        </w:rPr>
      </w:pPr>
      <w:r w:rsidRPr="007574B9">
        <w:rPr>
          <w:rFonts w:ascii="Arial" w:eastAsia="ArialMT" w:hAnsi="Arial" w:cs="Arial"/>
          <w:sz w:val="22"/>
          <w:szCs w:val="22"/>
        </w:rPr>
        <w:t>Decreto 1083 de 2015 - Actualiza el Modelo Estándar de Control Interno (MECI).</w:t>
      </w:r>
    </w:p>
    <w:p w14:paraId="4F2DD9EB"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Guía para la administración del riesgo y el diseño de controles en entidades públicas</w:t>
      </w:r>
      <w:r w:rsidRPr="007574B9">
        <w:rPr>
          <w:rFonts w:ascii="Arial" w:eastAsia="ArialMT" w:hAnsi="Arial" w:cs="Arial"/>
          <w:sz w:val="22"/>
          <w:szCs w:val="22"/>
        </w:rPr>
        <w:br/>
        <w:t>- Departamento Administrativo de la Función Pública.</w:t>
      </w:r>
    </w:p>
    <w:p w14:paraId="2D0DF8B8"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Redes Interinstitucionales para el Fortalecimiento de Prevención de Actos de Corrupción, Transparencia y Legalidad - Canales de Denuncia </w:t>
      </w:r>
    </w:p>
    <w:p w14:paraId="0C0B7759" w14:textId="77777777" w:rsidR="00974478" w:rsidRPr="007574B9" w:rsidRDefault="00974478" w:rsidP="00974478">
      <w:pPr>
        <w:pStyle w:val="Prrafodelista"/>
        <w:numPr>
          <w:ilvl w:val="0"/>
          <w:numId w:val="3"/>
        </w:numPr>
        <w:spacing w:after="160" w:line="259" w:lineRule="auto"/>
        <w:jc w:val="both"/>
        <w:rPr>
          <w:rFonts w:ascii="Arial" w:hAnsi="Arial" w:cs="Arial"/>
          <w:b/>
          <w:sz w:val="22"/>
          <w:szCs w:val="22"/>
        </w:rPr>
      </w:pPr>
      <w:r w:rsidRPr="007574B9">
        <w:rPr>
          <w:rFonts w:ascii="Arial" w:eastAsia="ArialMT" w:hAnsi="Arial" w:cs="Arial"/>
          <w:sz w:val="22"/>
          <w:szCs w:val="22"/>
        </w:rPr>
        <w:t>Decreto 2623 de 2009 - Sistema Nacional de Servicio al Ciudadano.</w:t>
      </w:r>
    </w:p>
    <w:p w14:paraId="2EEE5644" w14:textId="77777777" w:rsidR="00974478" w:rsidRPr="007574B9" w:rsidRDefault="00974478" w:rsidP="00974478">
      <w:pPr>
        <w:pStyle w:val="Prrafodelista"/>
        <w:numPr>
          <w:ilvl w:val="0"/>
          <w:numId w:val="3"/>
        </w:numPr>
        <w:spacing w:after="160" w:line="259" w:lineRule="auto"/>
        <w:jc w:val="both"/>
        <w:rPr>
          <w:rFonts w:ascii="Arial" w:hAnsi="Arial" w:cs="Arial"/>
          <w:b/>
          <w:sz w:val="22"/>
          <w:szCs w:val="22"/>
        </w:rPr>
      </w:pPr>
      <w:r w:rsidRPr="007574B9">
        <w:rPr>
          <w:rFonts w:ascii="Arial" w:eastAsia="ArialMT" w:hAnsi="Arial" w:cs="Arial"/>
          <w:sz w:val="22"/>
          <w:szCs w:val="22"/>
        </w:rPr>
        <w:t>Política Nacional de Servicio al Ciudadano</w:t>
      </w:r>
      <w:r w:rsidRPr="007574B9">
        <w:rPr>
          <w:rFonts w:ascii="Arial" w:hAnsi="Arial" w:cs="Arial"/>
          <w:b/>
          <w:bCs/>
          <w:sz w:val="22"/>
          <w:szCs w:val="22"/>
        </w:rPr>
        <w:t xml:space="preserve">, </w:t>
      </w:r>
      <w:r w:rsidRPr="007574B9">
        <w:rPr>
          <w:rFonts w:ascii="Arial" w:eastAsia="ArialMT" w:hAnsi="Arial" w:cs="Arial"/>
          <w:sz w:val="22"/>
          <w:szCs w:val="22"/>
        </w:rPr>
        <w:t>CONPES 3649 de2010.</w:t>
      </w:r>
    </w:p>
    <w:p w14:paraId="08704CBE" w14:textId="77777777" w:rsidR="00974478" w:rsidRPr="007574B9" w:rsidRDefault="00974478" w:rsidP="00974478">
      <w:pPr>
        <w:pStyle w:val="Prrafodelista"/>
        <w:numPr>
          <w:ilvl w:val="0"/>
          <w:numId w:val="3"/>
        </w:numPr>
        <w:spacing w:after="160" w:line="259" w:lineRule="auto"/>
        <w:jc w:val="both"/>
        <w:rPr>
          <w:rFonts w:ascii="Arial" w:hAnsi="Arial" w:cs="Arial"/>
          <w:b/>
          <w:sz w:val="22"/>
          <w:szCs w:val="22"/>
        </w:rPr>
      </w:pPr>
      <w:r w:rsidRPr="007574B9">
        <w:rPr>
          <w:rFonts w:ascii="Arial" w:eastAsia="ArialMT" w:hAnsi="Arial" w:cs="Arial"/>
          <w:sz w:val="22"/>
          <w:szCs w:val="22"/>
        </w:rPr>
        <w:t>Ley que regula Derecho Fundamental de Petición, Ley 1755 de 2015.</w:t>
      </w:r>
    </w:p>
    <w:p w14:paraId="573CC6ED" w14:textId="77777777" w:rsidR="00974478" w:rsidRPr="007574B9" w:rsidRDefault="00974478" w:rsidP="00974478">
      <w:pPr>
        <w:pStyle w:val="Prrafodelista"/>
        <w:numPr>
          <w:ilvl w:val="0"/>
          <w:numId w:val="3"/>
        </w:numPr>
        <w:spacing w:after="160" w:line="259" w:lineRule="auto"/>
        <w:jc w:val="both"/>
        <w:rPr>
          <w:rFonts w:ascii="Arial" w:hAnsi="Arial" w:cs="Arial"/>
          <w:b/>
          <w:sz w:val="22"/>
          <w:szCs w:val="22"/>
        </w:rPr>
      </w:pPr>
      <w:r w:rsidRPr="007574B9">
        <w:rPr>
          <w:rFonts w:ascii="Arial" w:eastAsia="ArialMT" w:hAnsi="Arial" w:cs="Arial"/>
          <w:sz w:val="22"/>
          <w:szCs w:val="22"/>
        </w:rPr>
        <w:t>Política de Gobierno Digital, Decreto 1008 de 2018.</w:t>
      </w:r>
    </w:p>
    <w:p w14:paraId="51A84AE3" w14:textId="77777777" w:rsidR="00974478" w:rsidRPr="007574B9" w:rsidRDefault="00974478" w:rsidP="00974478">
      <w:pPr>
        <w:pStyle w:val="Prrafodelista"/>
        <w:numPr>
          <w:ilvl w:val="0"/>
          <w:numId w:val="3"/>
        </w:numPr>
        <w:spacing w:after="160" w:line="259" w:lineRule="auto"/>
        <w:jc w:val="both"/>
        <w:rPr>
          <w:rFonts w:ascii="Arial" w:hAnsi="Arial" w:cs="Arial"/>
          <w:b/>
          <w:sz w:val="22"/>
          <w:szCs w:val="22"/>
        </w:rPr>
      </w:pPr>
      <w:r w:rsidRPr="007574B9">
        <w:rPr>
          <w:rFonts w:ascii="Arial" w:eastAsia="ArialMT" w:hAnsi="Arial" w:cs="Arial"/>
          <w:sz w:val="22"/>
          <w:szCs w:val="22"/>
        </w:rPr>
        <w:t xml:space="preserve">Modelo Integrado de Planeación y Gestión – Dimensión Talento Humano. </w:t>
      </w:r>
    </w:p>
    <w:p w14:paraId="404DC9AC"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Estrategias de Transparencia y Acceso a la Información Pública, Servicio al Ciudadano y Rendición de Cuentas </w:t>
      </w:r>
    </w:p>
    <w:p w14:paraId="033E91D9"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Ley de Transparencia y Acceso a la Información Pública, Ley1712 de 2014.</w:t>
      </w:r>
    </w:p>
    <w:p w14:paraId="126DD474"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Ley que regula derecho fundamental de petición, Ley 1755 de 2015.</w:t>
      </w:r>
    </w:p>
    <w:p w14:paraId="1A7C1679"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Resolución 1519 de 1020 “Por la cual se definen los estándares y directrices para publicar la información señalada en la ley 1712 de 2014 y se definen los requisitos en materia de acceso a la información pública, accesibilidad web, seguridad digital y datos abiertos”.</w:t>
      </w:r>
    </w:p>
    <w:p w14:paraId="2576F082"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Ley de promoción y protección al derecho a la participación democrática, Ley 1757de 2015.</w:t>
      </w:r>
    </w:p>
    <w:p w14:paraId="5EF568D1"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Ley de mecanismos de participación ciudadana, Ley134 de 1994.</w:t>
      </w:r>
    </w:p>
    <w:p w14:paraId="07C2FF9B"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Ley de veedurías ciudadanas, Ley 850 de 2003.</w:t>
      </w:r>
    </w:p>
    <w:p w14:paraId="5ED4A371"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Manual de Rendición de Cuentas, CONPES 3654 de 2010.</w:t>
      </w:r>
    </w:p>
    <w:p w14:paraId="1E8F007E"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Ley de Promoción y Protección al Derecho a la participación Democrática, Ley1757 de 2015.</w:t>
      </w:r>
    </w:p>
    <w:p w14:paraId="6F129E76"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Ley que regula Derecho Fundamental de Petición, Ley 1755 de 2015.</w:t>
      </w:r>
    </w:p>
    <w:p w14:paraId="38561A04"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lastRenderedPageBreak/>
        <w:t xml:space="preserve">Iniciativas Adicionales </w:t>
      </w:r>
    </w:p>
    <w:p w14:paraId="5A30DCC0" w14:textId="77777777" w:rsidR="00974478" w:rsidRPr="007574B9" w:rsidRDefault="00974478" w:rsidP="00974478">
      <w:pPr>
        <w:pStyle w:val="Prrafodelista"/>
        <w:numPr>
          <w:ilvl w:val="0"/>
          <w:numId w:val="3"/>
        </w:numPr>
        <w:spacing w:after="160" w:line="259" w:lineRule="auto"/>
        <w:jc w:val="both"/>
        <w:rPr>
          <w:rFonts w:ascii="Arial" w:hAnsi="Arial" w:cs="Arial"/>
          <w:b/>
          <w:sz w:val="22"/>
          <w:szCs w:val="22"/>
        </w:rPr>
      </w:pPr>
      <w:r w:rsidRPr="007574B9">
        <w:rPr>
          <w:rFonts w:ascii="Arial" w:eastAsia="ArialMT" w:hAnsi="Arial" w:cs="Arial"/>
          <w:sz w:val="22"/>
          <w:szCs w:val="22"/>
        </w:rPr>
        <w:t>Ley 1437 de 2011 - Por la cual se expide el Código de Procedimiento Administrativo y de lo Contencioso Administrativo.</w:t>
      </w:r>
    </w:p>
    <w:p w14:paraId="1F918EAA" w14:textId="77777777" w:rsidR="00974478" w:rsidRPr="007574B9" w:rsidRDefault="00974478" w:rsidP="00974478">
      <w:pPr>
        <w:pStyle w:val="Prrafodelista"/>
        <w:numPr>
          <w:ilvl w:val="0"/>
          <w:numId w:val="3"/>
        </w:numPr>
        <w:spacing w:after="160" w:line="259" w:lineRule="auto"/>
        <w:jc w:val="both"/>
        <w:rPr>
          <w:rFonts w:ascii="Arial" w:eastAsia="ArialMT" w:hAnsi="Arial" w:cs="Arial"/>
          <w:sz w:val="22"/>
          <w:szCs w:val="22"/>
        </w:rPr>
      </w:pPr>
      <w:r w:rsidRPr="007574B9">
        <w:rPr>
          <w:rFonts w:ascii="Arial" w:eastAsia="ArialMT" w:hAnsi="Arial" w:cs="Arial"/>
          <w:sz w:val="22"/>
          <w:szCs w:val="22"/>
        </w:rPr>
        <w:t>Ley 2013 de 2019 - Por medio del cual se busca garantizar el cumplimiento de los principios de transparencia y publicidad mediante la publicación de las declaraciones de bienes, renta y el registro de los conflictos de interés</w:t>
      </w:r>
    </w:p>
    <w:p w14:paraId="2E1ACC3A" w14:textId="77777777" w:rsidR="00974478" w:rsidRPr="007574B9" w:rsidRDefault="00974478" w:rsidP="00974478">
      <w:pPr>
        <w:rPr>
          <w:rFonts w:ascii="Arial" w:hAnsi="Arial" w:cs="Arial"/>
          <w:b/>
          <w:bCs/>
          <w:sz w:val="22"/>
          <w:szCs w:val="22"/>
        </w:rPr>
      </w:pPr>
    </w:p>
    <w:p w14:paraId="551996F3" w14:textId="77777777" w:rsidR="00974478" w:rsidRPr="007574B9" w:rsidRDefault="00974478" w:rsidP="00974478">
      <w:pPr>
        <w:rPr>
          <w:rFonts w:ascii="Arial" w:hAnsi="Arial" w:cs="Arial"/>
          <w:b/>
          <w:bCs/>
          <w:sz w:val="22"/>
          <w:szCs w:val="22"/>
        </w:rPr>
      </w:pPr>
      <w:r w:rsidRPr="007574B9">
        <w:rPr>
          <w:rFonts w:ascii="Arial" w:hAnsi="Arial" w:cs="Arial"/>
          <w:b/>
          <w:bCs/>
          <w:sz w:val="22"/>
          <w:szCs w:val="22"/>
        </w:rPr>
        <w:t xml:space="preserve">OBJETIVO GENERAL </w:t>
      </w:r>
    </w:p>
    <w:p w14:paraId="51C0C5DD" w14:textId="77777777" w:rsidR="00974478" w:rsidRPr="007574B9" w:rsidRDefault="00974478" w:rsidP="00974478">
      <w:pPr>
        <w:rPr>
          <w:rFonts w:ascii="Arial" w:hAnsi="Arial" w:cs="Arial"/>
          <w:b/>
          <w:bCs/>
          <w:sz w:val="22"/>
          <w:szCs w:val="22"/>
        </w:rPr>
      </w:pPr>
    </w:p>
    <w:p w14:paraId="6B73841A" w14:textId="77777777" w:rsidR="00974478" w:rsidRPr="007574B9" w:rsidRDefault="00974478" w:rsidP="00974478">
      <w:pPr>
        <w:jc w:val="both"/>
        <w:rPr>
          <w:rFonts w:ascii="Arial" w:hAnsi="Arial" w:cs="Arial"/>
          <w:sz w:val="22"/>
          <w:szCs w:val="22"/>
        </w:rPr>
      </w:pPr>
      <w:r w:rsidRPr="007574B9">
        <w:rPr>
          <w:rFonts w:ascii="Arial" w:hAnsi="Arial" w:cs="Arial"/>
          <w:sz w:val="22"/>
          <w:szCs w:val="22"/>
        </w:rPr>
        <w:t xml:space="preserve">Establecer acciones y estrategias encaminadas a promover la cultura de la legalidad e integridad, fortalecer la lucha contra la corrupción y la participación ciudadana, mejorar la atención al ciudadano y garantizar el derecho de acceso a la información pública, en aplicación de los principios de transparencia, eficiencia administrativa y buen gobierno en la Promotora de Eventos y Turismo SAS de Manizales y en concordancia con los lineamientos establecidos en la Ley 2195 de 2022. </w:t>
      </w:r>
    </w:p>
    <w:p w14:paraId="499FCAF6" w14:textId="77777777" w:rsidR="00974478" w:rsidRPr="007574B9" w:rsidRDefault="00974478" w:rsidP="00974478">
      <w:pPr>
        <w:rPr>
          <w:rFonts w:ascii="Arial" w:eastAsia="ArialMT" w:hAnsi="Arial" w:cs="Arial"/>
          <w:sz w:val="22"/>
          <w:szCs w:val="22"/>
        </w:rPr>
      </w:pPr>
    </w:p>
    <w:p w14:paraId="123A2067" w14:textId="77777777" w:rsidR="00974478" w:rsidRPr="007574B9" w:rsidRDefault="00974478" w:rsidP="00974478">
      <w:pPr>
        <w:rPr>
          <w:rFonts w:ascii="Arial" w:eastAsia="ArialMT" w:hAnsi="Arial" w:cs="Arial"/>
          <w:b/>
          <w:bCs/>
          <w:sz w:val="22"/>
          <w:szCs w:val="22"/>
        </w:rPr>
      </w:pPr>
      <w:r w:rsidRPr="007574B9">
        <w:rPr>
          <w:rFonts w:ascii="Arial" w:eastAsia="ArialMT" w:hAnsi="Arial" w:cs="Arial"/>
          <w:b/>
          <w:bCs/>
          <w:sz w:val="22"/>
          <w:szCs w:val="22"/>
        </w:rPr>
        <w:t xml:space="preserve">OBJETIVOS ESPECÍFICOS </w:t>
      </w:r>
    </w:p>
    <w:p w14:paraId="5AF9CB82" w14:textId="77777777" w:rsidR="00974478" w:rsidRPr="007574B9" w:rsidRDefault="00974478" w:rsidP="00974478">
      <w:pPr>
        <w:rPr>
          <w:rFonts w:ascii="Arial" w:eastAsia="ArialMT" w:hAnsi="Arial" w:cs="Arial"/>
          <w:b/>
          <w:bCs/>
          <w:sz w:val="22"/>
          <w:szCs w:val="22"/>
        </w:rPr>
      </w:pPr>
    </w:p>
    <w:p w14:paraId="3C012DFE" w14:textId="77777777" w:rsidR="00974478" w:rsidRPr="007574B9" w:rsidRDefault="00974478" w:rsidP="00974478">
      <w:pPr>
        <w:pStyle w:val="Prrafodelista"/>
        <w:numPr>
          <w:ilvl w:val="0"/>
          <w:numId w:val="4"/>
        </w:numPr>
        <w:spacing w:after="160" w:line="259" w:lineRule="auto"/>
        <w:jc w:val="both"/>
        <w:rPr>
          <w:rFonts w:ascii="Arial" w:eastAsia="ArialMT" w:hAnsi="Arial" w:cs="Arial"/>
          <w:sz w:val="22"/>
          <w:szCs w:val="22"/>
        </w:rPr>
      </w:pPr>
      <w:r w:rsidRPr="007574B9">
        <w:rPr>
          <w:rFonts w:ascii="Arial" w:eastAsia="ArialMT" w:hAnsi="Arial" w:cs="Arial"/>
          <w:sz w:val="22"/>
          <w:szCs w:val="22"/>
        </w:rPr>
        <w:t xml:space="preserve">Crear e implementar estrategias orientadas a la prevención y disminución de actos de corrupción. </w:t>
      </w:r>
    </w:p>
    <w:p w14:paraId="144E351B" w14:textId="77777777" w:rsidR="00974478" w:rsidRPr="007574B9" w:rsidRDefault="00974478" w:rsidP="00974478">
      <w:pPr>
        <w:pStyle w:val="Prrafodelista"/>
        <w:numPr>
          <w:ilvl w:val="0"/>
          <w:numId w:val="4"/>
        </w:numPr>
        <w:spacing w:after="160" w:line="259" w:lineRule="auto"/>
        <w:jc w:val="both"/>
        <w:rPr>
          <w:rFonts w:ascii="Arial" w:eastAsia="ArialMT" w:hAnsi="Arial" w:cs="Arial"/>
          <w:sz w:val="22"/>
          <w:szCs w:val="22"/>
        </w:rPr>
      </w:pPr>
      <w:r w:rsidRPr="007574B9">
        <w:rPr>
          <w:rFonts w:ascii="Arial" w:eastAsia="ArialMT" w:hAnsi="Arial" w:cs="Arial"/>
          <w:sz w:val="22"/>
          <w:szCs w:val="22"/>
        </w:rPr>
        <w:t xml:space="preserve">Establecer actividades para la identificación, prevención, minimización, control y seguimiento de los riesgos de corrupción. </w:t>
      </w:r>
    </w:p>
    <w:p w14:paraId="1757F965" w14:textId="77777777" w:rsidR="00974478" w:rsidRPr="007574B9" w:rsidRDefault="00974478" w:rsidP="00974478">
      <w:pPr>
        <w:pStyle w:val="Prrafodelista"/>
        <w:numPr>
          <w:ilvl w:val="0"/>
          <w:numId w:val="4"/>
        </w:numPr>
        <w:spacing w:after="160" w:line="259" w:lineRule="auto"/>
        <w:jc w:val="both"/>
        <w:rPr>
          <w:rFonts w:ascii="Arial" w:eastAsia="ArialMT" w:hAnsi="Arial" w:cs="Arial"/>
          <w:sz w:val="22"/>
          <w:szCs w:val="22"/>
        </w:rPr>
      </w:pPr>
      <w:r w:rsidRPr="007574B9">
        <w:rPr>
          <w:rFonts w:ascii="Arial" w:hAnsi="Arial" w:cs="Arial"/>
          <w:sz w:val="22"/>
          <w:szCs w:val="22"/>
        </w:rPr>
        <w:t xml:space="preserve">Disponer los mecanismos necesarios para garantizar una adecuada y eficiente atención a los ciudadanos. </w:t>
      </w:r>
    </w:p>
    <w:p w14:paraId="25074E17" w14:textId="77777777" w:rsidR="00974478" w:rsidRPr="007574B9" w:rsidRDefault="00974478" w:rsidP="00974478">
      <w:pPr>
        <w:pStyle w:val="Prrafodelista"/>
        <w:numPr>
          <w:ilvl w:val="0"/>
          <w:numId w:val="4"/>
        </w:numPr>
        <w:spacing w:after="160" w:line="259" w:lineRule="auto"/>
        <w:jc w:val="both"/>
        <w:rPr>
          <w:rFonts w:ascii="Arial" w:eastAsia="ArialMT" w:hAnsi="Arial" w:cs="Arial"/>
          <w:sz w:val="22"/>
          <w:szCs w:val="22"/>
        </w:rPr>
      </w:pPr>
      <w:r w:rsidRPr="007574B9">
        <w:rPr>
          <w:rFonts w:ascii="Arial" w:hAnsi="Arial" w:cs="Arial"/>
          <w:sz w:val="22"/>
          <w:szCs w:val="22"/>
        </w:rPr>
        <w:t xml:space="preserve">Integrar las herramientas de planeación, gestión y control, para el mejoramiento continuo de la entidad. </w:t>
      </w:r>
    </w:p>
    <w:p w14:paraId="244B9D40" w14:textId="77777777" w:rsidR="00974478" w:rsidRPr="007574B9" w:rsidRDefault="00974478" w:rsidP="00974478">
      <w:pPr>
        <w:pStyle w:val="Prrafodelista"/>
        <w:numPr>
          <w:ilvl w:val="0"/>
          <w:numId w:val="4"/>
        </w:numPr>
        <w:spacing w:after="160" w:line="259" w:lineRule="auto"/>
        <w:jc w:val="both"/>
        <w:rPr>
          <w:rFonts w:ascii="Arial" w:eastAsia="ArialMT" w:hAnsi="Arial" w:cs="Arial"/>
          <w:sz w:val="22"/>
          <w:szCs w:val="22"/>
        </w:rPr>
      </w:pPr>
      <w:r w:rsidRPr="007574B9">
        <w:rPr>
          <w:rFonts w:ascii="Arial" w:hAnsi="Arial" w:cs="Arial"/>
          <w:sz w:val="22"/>
          <w:szCs w:val="22"/>
        </w:rPr>
        <w:t>Mejorar la disposición de la información publicada en la página web, buscando garantizar la transparencia de las acciones de la entidad y el cumplimiento en el acceso a la información pública.</w:t>
      </w:r>
    </w:p>
    <w:p w14:paraId="03DC7260" w14:textId="77777777" w:rsidR="00974478" w:rsidRPr="007574B9" w:rsidRDefault="00974478" w:rsidP="00974478">
      <w:pPr>
        <w:pStyle w:val="Prrafodelista"/>
        <w:numPr>
          <w:ilvl w:val="0"/>
          <w:numId w:val="4"/>
        </w:numPr>
        <w:spacing w:after="160" w:line="259" w:lineRule="auto"/>
        <w:jc w:val="both"/>
        <w:rPr>
          <w:rFonts w:ascii="Arial" w:eastAsia="ArialMT" w:hAnsi="Arial" w:cs="Arial"/>
          <w:sz w:val="22"/>
          <w:szCs w:val="22"/>
        </w:rPr>
      </w:pPr>
      <w:r w:rsidRPr="007574B9">
        <w:rPr>
          <w:rFonts w:ascii="Arial" w:hAnsi="Arial" w:cs="Arial"/>
          <w:sz w:val="22"/>
          <w:szCs w:val="22"/>
        </w:rPr>
        <w:t>Fortalecer la atención al ciudadano y su participación a través de los diferentes canales con los que cuenta la Entidad para la toma de decisiones.</w:t>
      </w:r>
    </w:p>
    <w:p w14:paraId="3B1C8359" w14:textId="77777777" w:rsidR="00974478" w:rsidRPr="007574B9" w:rsidRDefault="00974478" w:rsidP="00974478">
      <w:pPr>
        <w:pStyle w:val="Prrafodelista"/>
        <w:numPr>
          <w:ilvl w:val="0"/>
          <w:numId w:val="4"/>
        </w:numPr>
        <w:spacing w:after="160" w:line="259" w:lineRule="auto"/>
        <w:jc w:val="both"/>
        <w:rPr>
          <w:rFonts w:ascii="Arial" w:eastAsia="ArialMT" w:hAnsi="Arial" w:cs="Arial"/>
          <w:sz w:val="22"/>
          <w:szCs w:val="22"/>
        </w:rPr>
      </w:pPr>
      <w:r w:rsidRPr="007574B9">
        <w:rPr>
          <w:rFonts w:ascii="Arial" w:eastAsia="ArialMT" w:hAnsi="Arial" w:cs="Arial"/>
          <w:sz w:val="22"/>
          <w:szCs w:val="22"/>
        </w:rPr>
        <w:t>Fortalecer la cultura de legalidad e integridad, entre sus funcionarios,</w:t>
      </w:r>
      <w:r w:rsidRPr="007574B9">
        <w:rPr>
          <w:rFonts w:ascii="Arial" w:eastAsia="ArialMT" w:hAnsi="Arial" w:cs="Arial"/>
          <w:sz w:val="22"/>
          <w:szCs w:val="22"/>
        </w:rPr>
        <w:br/>
        <w:t>contratistas, proveedores y usuarios.</w:t>
      </w:r>
    </w:p>
    <w:p w14:paraId="4FE7C932" w14:textId="77777777" w:rsidR="00974478" w:rsidRPr="007574B9" w:rsidRDefault="00974478" w:rsidP="00974478">
      <w:pPr>
        <w:pStyle w:val="Prrafodelista"/>
        <w:numPr>
          <w:ilvl w:val="0"/>
          <w:numId w:val="4"/>
        </w:numPr>
        <w:spacing w:after="160" w:line="259" w:lineRule="auto"/>
        <w:jc w:val="both"/>
        <w:rPr>
          <w:rFonts w:ascii="Arial" w:hAnsi="Arial" w:cs="Arial"/>
          <w:sz w:val="22"/>
          <w:szCs w:val="22"/>
        </w:rPr>
      </w:pPr>
      <w:r w:rsidRPr="007574B9">
        <w:rPr>
          <w:rFonts w:ascii="Arial" w:hAnsi="Arial" w:cs="Arial"/>
          <w:sz w:val="22"/>
          <w:szCs w:val="22"/>
        </w:rPr>
        <w:t>Efectuar un proceso de rendición de cuentas efectivo y permanente, propendiendo por la transparencia de la gestión de la administración pública.</w:t>
      </w:r>
    </w:p>
    <w:p w14:paraId="0A1E512B" w14:textId="77777777" w:rsidR="00974478" w:rsidRPr="007574B9" w:rsidRDefault="00974478" w:rsidP="00974478">
      <w:pPr>
        <w:jc w:val="both"/>
        <w:rPr>
          <w:rFonts w:ascii="Arial" w:hAnsi="Arial" w:cs="Arial"/>
          <w:b/>
          <w:bCs/>
          <w:sz w:val="22"/>
          <w:szCs w:val="22"/>
        </w:rPr>
      </w:pPr>
    </w:p>
    <w:p w14:paraId="481C9578" w14:textId="77777777" w:rsidR="00974478" w:rsidRPr="007574B9" w:rsidRDefault="00974478" w:rsidP="00974478">
      <w:pPr>
        <w:jc w:val="both"/>
        <w:rPr>
          <w:rFonts w:ascii="Arial" w:hAnsi="Arial" w:cs="Arial"/>
          <w:b/>
          <w:bCs/>
          <w:sz w:val="22"/>
          <w:szCs w:val="22"/>
        </w:rPr>
      </w:pPr>
      <w:r w:rsidRPr="007574B9">
        <w:rPr>
          <w:rFonts w:ascii="Arial" w:hAnsi="Arial" w:cs="Arial"/>
          <w:b/>
          <w:bCs/>
          <w:sz w:val="22"/>
          <w:szCs w:val="22"/>
        </w:rPr>
        <w:t xml:space="preserve">ALCANCE </w:t>
      </w:r>
    </w:p>
    <w:p w14:paraId="0B9EF4F0" w14:textId="77777777" w:rsidR="00974478" w:rsidRPr="007574B9" w:rsidRDefault="00974478" w:rsidP="00974478">
      <w:pPr>
        <w:jc w:val="both"/>
        <w:rPr>
          <w:rFonts w:ascii="Arial" w:hAnsi="Arial" w:cs="Arial"/>
          <w:b/>
          <w:bCs/>
          <w:sz w:val="22"/>
          <w:szCs w:val="22"/>
        </w:rPr>
      </w:pPr>
    </w:p>
    <w:p w14:paraId="6C275495" w14:textId="77777777" w:rsidR="00974478" w:rsidRPr="007574B9" w:rsidRDefault="00974478" w:rsidP="00974478">
      <w:pPr>
        <w:jc w:val="both"/>
        <w:rPr>
          <w:rFonts w:ascii="Arial" w:hAnsi="Arial" w:cs="Arial"/>
          <w:sz w:val="22"/>
          <w:szCs w:val="22"/>
        </w:rPr>
      </w:pPr>
      <w:r w:rsidRPr="007574B9">
        <w:rPr>
          <w:rFonts w:ascii="Arial" w:hAnsi="Arial" w:cs="Arial"/>
          <w:sz w:val="22"/>
          <w:szCs w:val="22"/>
        </w:rPr>
        <w:t xml:space="preserve">El Programa de Transparencia y Ética Pública es aplicable a todos los procesos (estratégicos, misionales, de apoyo y de evaluación), áreas, funcionarios, contratistas y colaboradores de la Promotora de Eventos y Turismo SAS. </w:t>
      </w:r>
    </w:p>
    <w:p w14:paraId="50557FC9"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lastRenderedPageBreak/>
        <w:t xml:space="preserve">COMPONENTES DEL PROGRAMA DE TRANSPARENCIA Y ÉTICA PÚBLICA </w:t>
      </w:r>
    </w:p>
    <w:p w14:paraId="7B1434CE" w14:textId="77777777" w:rsidR="00974478" w:rsidRPr="007574B9" w:rsidRDefault="00974478" w:rsidP="00974478">
      <w:pPr>
        <w:spacing w:line="276" w:lineRule="auto"/>
        <w:jc w:val="both"/>
        <w:outlineLvl w:val="0"/>
        <w:rPr>
          <w:rFonts w:ascii="Arial" w:hAnsi="Arial" w:cs="Arial"/>
          <w:b/>
          <w:sz w:val="22"/>
          <w:szCs w:val="22"/>
        </w:rPr>
      </w:pPr>
    </w:p>
    <w:p w14:paraId="513ACD87" w14:textId="77777777" w:rsidR="00974478" w:rsidRPr="007574B9" w:rsidRDefault="00974478" w:rsidP="00974478">
      <w:pPr>
        <w:pStyle w:val="Prrafodelista"/>
        <w:numPr>
          <w:ilvl w:val="0"/>
          <w:numId w:val="2"/>
        </w:numPr>
        <w:spacing w:after="160" w:line="276" w:lineRule="auto"/>
        <w:jc w:val="both"/>
        <w:outlineLvl w:val="0"/>
        <w:rPr>
          <w:rFonts w:ascii="Arial" w:hAnsi="Arial" w:cs="Arial"/>
          <w:b/>
          <w:sz w:val="22"/>
          <w:szCs w:val="22"/>
        </w:rPr>
      </w:pPr>
      <w:r w:rsidRPr="007574B9">
        <w:rPr>
          <w:rFonts w:ascii="Arial" w:hAnsi="Arial" w:cs="Arial"/>
          <w:b/>
          <w:sz w:val="22"/>
          <w:szCs w:val="22"/>
        </w:rPr>
        <w:t xml:space="preserve">MEDIDAS DE DEBIDA DILIGENCIA </w:t>
      </w:r>
    </w:p>
    <w:p w14:paraId="57EB9646" w14:textId="77777777" w:rsidR="00974478" w:rsidRPr="007574B9" w:rsidRDefault="00974478" w:rsidP="00974478">
      <w:pPr>
        <w:spacing w:line="276" w:lineRule="auto"/>
        <w:jc w:val="both"/>
        <w:outlineLvl w:val="0"/>
        <w:rPr>
          <w:rFonts w:ascii="Arial" w:hAnsi="Arial" w:cs="Arial"/>
          <w:sz w:val="22"/>
          <w:szCs w:val="22"/>
        </w:rPr>
      </w:pPr>
      <w:r w:rsidRPr="007574B9">
        <w:rPr>
          <w:rFonts w:ascii="Arial" w:hAnsi="Arial" w:cs="Arial"/>
          <w:sz w:val="22"/>
          <w:szCs w:val="22"/>
        </w:rPr>
        <w:t>La Promotora de Eventos y Turismo SAS adopta medidas de debida diligencia como procesos fundamentales en la toma de decisiones y como eje fundamental para involucrar la alta dirección y articular los planes institucionales y estratégicos; para los cual cuenta con dos (2) comités que propenden por la toma de decisiones y el cumplimiento del debido proceso en las actuaciones administrativas que a estos cuerpos colegiados le corresponden.</w:t>
      </w:r>
    </w:p>
    <w:tbl>
      <w:tblPr>
        <w:tblW w:w="94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2"/>
        <w:gridCol w:w="1842"/>
        <w:gridCol w:w="1843"/>
        <w:gridCol w:w="3685"/>
      </w:tblGrid>
      <w:tr w:rsidR="007574B9" w:rsidRPr="007574B9" w14:paraId="3CF98CC1" w14:textId="77777777" w:rsidTr="005F3356">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3F0DA4B" w14:textId="77777777" w:rsidR="00974478" w:rsidRPr="007574B9" w:rsidRDefault="00974478" w:rsidP="005F3356">
            <w:pPr>
              <w:jc w:val="center"/>
              <w:rPr>
                <w:rFonts w:ascii="Arial" w:eastAsia="Times New Roman" w:hAnsi="Arial" w:cs="Arial"/>
                <w:sz w:val="22"/>
                <w:szCs w:val="22"/>
                <w:lang w:eastAsia="es-ES"/>
              </w:rPr>
            </w:pPr>
            <w:r w:rsidRPr="007574B9">
              <w:rPr>
                <w:rFonts w:ascii="Arial" w:eastAsia="Times New Roman" w:hAnsi="Arial" w:cs="Arial"/>
                <w:b/>
                <w:bCs/>
                <w:sz w:val="22"/>
                <w:szCs w:val="22"/>
                <w:lang w:eastAsia="es-ES"/>
              </w:rPr>
              <w:t>NOMBRE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9F32113" w14:textId="77777777" w:rsidR="00974478" w:rsidRPr="007574B9" w:rsidRDefault="00974478" w:rsidP="005F3356">
            <w:pPr>
              <w:jc w:val="center"/>
              <w:rPr>
                <w:rFonts w:ascii="Arial" w:eastAsia="Times New Roman" w:hAnsi="Arial" w:cs="Arial"/>
                <w:sz w:val="22"/>
                <w:szCs w:val="22"/>
                <w:lang w:eastAsia="es-ES"/>
              </w:rPr>
            </w:pPr>
            <w:r w:rsidRPr="007574B9">
              <w:rPr>
                <w:rFonts w:ascii="Arial" w:eastAsia="Times New Roman" w:hAnsi="Arial" w:cs="Arial"/>
                <w:b/>
                <w:bCs/>
                <w:sz w:val="22"/>
                <w:szCs w:val="22"/>
                <w:lang w:eastAsia="es-ES"/>
              </w:rPr>
              <w:t>RESOLUCIÓN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F48A7BA" w14:textId="77777777" w:rsidR="00974478" w:rsidRPr="007574B9" w:rsidRDefault="00974478" w:rsidP="005F3356">
            <w:pPr>
              <w:jc w:val="center"/>
              <w:rPr>
                <w:rFonts w:ascii="Arial" w:eastAsia="Times New Roman" w:hAnsi="Arial" w:cs="Arial"/>
                <w:sz w:val="22"/>
                <w:szCs w:val="22"/>
                <w:lang w:eastAsia="es-ES"/>
              </w:rPr>
            </w:pPr>
            <w:r w:rsidRPr="007574B9">
              <w:rPr>
                <w:rFonts w:ascii="Arial" w:eastAsia="Times New Roman" w:hAnsi="Arial" w:cs="Arial"/>
                <w:b/>
                <w:bCs/>
                <w:sz w:val="22"/>
                <w:szCs w:val="22"/>
                <w:lang w:eastAsia="es-ES"/>
              </w:rPr>
              <w:t>OBJETIVO</w:t>
            </w:r>
          </w:p>
        </w:tc>
        <w:tc>
          <w:tcPr>
            <w:tcW w:w="3685" w:type="dxa"/>
            <w:tcBorders>
              <w:top w:val="single" w:sz="4" w:space="0" w:color="auto"/>
              <w:left w:val="single" w:sz="4" w:space="0" w:color="auto"/>
              <w:bottom w:val="single" w:sz="4" w:space="0" w:color="auto"/>
              <w:right w:val="single" w:sz="4" w:space="0" w:color="auto"/>
            </w:tcBorders>
          </w:tcPr>
          <w:p w14:paraId="71574B88" w14:textId="77777777" w:rsidR="00974478" w:rsidRPr="007574B9" w:rsidRDefault="00974478" w:rsidP="005F3356">
            <w:pPr>
              <w:jc w:val="center"/>
              <w:rPr>
                <w:rFonts w:ascii="Arial" w:eastAsia="Times New Roman" w:hAnsi="Arial" w:cs="Arial"/>
                <w:b/>
                <w:bCs/>
                <w:sz w:val="22"/>
                <w:szCs w:val="22"/>
                <w:lang w:eastAsia="es-ES"/>
              </w:rPr>
            </w:pPr>
            <w:r w:rsidRPr="007574B9">
              <w:rPr>
                <w:rFonts w:ascii="Arial" w:eastAsia="Times New Roman" w:hAnsi="Arial" w:cs="Arial"/>
                <w:b/>
                <w:bCs/>
                <w:sz w:val="22"/>
                <w:szCs w:val="22"/>
                <w:lang w:eastAsia="es-ES"/>
              </w:rPr>
              <w:t>NATURALEZA</w:t>
            </w:r>
          </w:p>
        </w:tc>
      </w:tr>
      <w:tr w:rsidR="007574B9" w:rsidRPr="007574B9" w14:paraId="03D6A1F6" w14:textId="77777777" w:rsidTr="005F3356">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C9994C4" w14:textId="77777777" w:rsidR="00974478" w:rsidRPr="007574B9" w:rsidRDefault="00974478" w:rsidP="005F3356">
            <w:pPr>
              <w:rPr>
                <w:rFonts w:ascii="Arial" w:eastAsia="Times New Roman" w:hAnsi="Arial" w:cs="Arial"/>
                <w:sz w:val="22"/>
                <w:szCs w:val="22"/>
                <w:lang w:eastAsia="es-ES"/>
              </w:rPr>
            </w:pPr>
            <w:r w:rsidRPr="007574B9">
              <w:rPr>
                <w:rFonts w:ascii="Arial" w:eastAsia="Times New Roman" w:hAnsi="Arial" w:cs="Arial"/>
                <w:sz w:val="22"/>
                <w:szCs w:val="22"/>
                <w:lang w:eastAsia="es-ES"/>
              </w:rPr>
              <w:t>COMITÉ INSTITUCIONAL</w:t>
            </w:r>
            <w:r w:rsidRPr="007574B9">
              <w:rPr>
                <w:rFonts w:ascii="Arial" w:eastAsia="Times New Roman" w:hAnsi="Arial" w:cs="Arial"/>
                <w:sz w:val="22"/>
                <w:szCs w:val="22"/>
                <w:lang w:eastAsia="es-ES"/>
              </w:rPr>
              <w:br/>
              <w:t>DE GESTIÓN Y</w:t>
            </w:r>
            <w:r w:rsidRPr="007574B9">
              <w:rPr>
                <w:rFonts w:ascii="Arial" w:eastAsia="Times New Roman" w:hAnsi="Arial" w:cs="Arial"/>
                <w:sz w:val="22"/>
                <w:szCs w:val="22"/>
                <w:lang w:eastAsia="es-ES"/>
              </w:rPr>
              <w:br/>
              <w:t>DESEMPEÑO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ECF613" w14:textId="77777777" w:rsidR="00974478" w:rsidRPr="007574B9" w:rsidRDefault="00974478" w:rsidP="005F3356">
            <w:pPr>
              <w:rPr>
                <w:rFonts w:ascii="Arial" w:eastAsia="Times New Roman" w:hAnsi="Arial" w:cs="Arial"/>
                <w:sz w:val="22"/>
                <w:szCs w:val="22"/>
                <w:lang w:eastAsia="es-ES"/>
              </w:rPr>
            </w:pPr>
            <w:r w:rsidRPr="007574B9">
              <w:rPr>
                <w:rFonts w:ascii="Arial" w:eastAsia="Times New Roman" w:hAnsi="Arial" w:cs="Arial"/>
                <w:sz w:val="22"/>
                <w:szCs w:val="22"/>
                <w:lang w:eastAsia="es-ES"/>
              </w:rPr>
              <w:t xml:space="preserve">Resolución No. 163 del 29 de mayo de 2024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A90CB2" w14:textId="77777777" w:rsidR="00974478" w:rsidRPr="007574B9" w:rsidRDefault="00974478" w:rsidP="005F3356">
            <w:pPr>
              <w:jc w:val="both"/>
              <w:rPr>
                <w:rFonts w:ascii="Arial" w:eastAsia="Times New Roman" w:hAnsi="Arial" w:cs="Arial"/>
                <w:sz w:val="22"/>
                <w:szCs w:val="22"/>
                <w:lang w:eastAsia="es-ES"/>
              </w:rPr>
            </w:pPr>
            <w:r w:rsidRPr="007574B9">
              <w:rPr>
                <w:rFonts w:ascii="Arial" w:eastAsia="Times New Roman" w:hAnsi="Arial" w:cs="Arial"/>
                <w:sz w:val="22"/>
                <w:szCs w:val="22"/>
                <w:lang w:eastAsia="es-ES"/>
              </w:rPr>
              <w:t xml:space="preserve">“Por medio de la cual se crea el Comité Institucional de Gestión y Desempeño de la Promotora de Eventos y Turismo SAS” </w:t>
            </w:r>
          </w:p>
        </w:tc>
        <w:tc>
          <w:tcPr>
            <w:tcW w:w="3685" w:type="dxa"/>
            <w:tcBorders>
              <w:top w:val="single" w:sz="4" w:space="0" w:color="auto"/>
              <w:left w:val="single" w:sz="4" w:space="0" w:color="auto"/>
              <w:bottom w:val="single" w:sz="4" w:space="0" w:color="auto"/>
              <w:right w:val="single" w:sz="4" w:space="0" w:color="auto"/>
            </w:tcBorders>
          </w:tcPr>
          <w:p w14:paraId="0358E1AF" w14:textId="77777777" w:rsidR="00974478" w:rsidRPr="007574B9" w:rsidRDefault="00974478" w:rsidP="005F3356">
            <w:pPr>
              <w:spacing w:line="276" w:lineRule="auto"/>
              <w:jc w:val="both"/>
              <w:outlineLvl w:val="0"/>
              <w:rPr>
                <w:rFonts w:ascii="Arial" w:hAnsi="Arial" w:cs="Arial"/>
                <w:sz w:val="22"/>
                <w:szCs w:val="22"/>
              </w:rPr>
            </w:pPr>
            <w:r w:rsidRPr="007574B9">
              <w:rPr>
                <w:rFonts w:ascii="Arial" w:eastAsia="Times New Roman" w:hAnsi="Arial" w:cs="Arial"/>
                <w:sz w:val="22"/>
                <w:szCs w:val="22"/>
                <w:lang w:eastAsia="es-ES"/>
              </w:rPr>
              <w:t xml:space="preserve">El Comité </w:t>
            </w:r>
            <w:r w:rsidRPr="007574B9">
              <w:rPr>
                <w:rFonts w:ascii="Arial" w:eastAsia="Times New Roman" w:hAnsi="Arial" w:cs="Arial"/>
                <w:sz w:val="22"/>
                <w:szCs w:val="22"/>
                <w:lang w:eastAsia="es-ES"/>
              </w:rPr>
              <w:br/>
              <w:t xml:space="preserve">Institucional de Gestión y Desempeño es un órgano rector, articulador y ejecutor, a nivel institucional, de las acciones y estrategias para la correcta implementación, operación, desarrollo, evaluación y seguimiento del Sistema Integrado de Gestión Institucional de la Promotora de Eventos y Turismo SAS. </w:t>
            </w:r>
          </w:p>
        </w:tc>
      </w:tr>
      <w:tr w:rsidR="007574B9" w:rsidRPr="007574B9" w14:paraId="66AAB538" w14:textId="77777777" w:rsidTr="005F3356">
        <w:trPr>
          <w:jc w:val="center"/>
        </w:trPr>
        <w:tc>
          <w:tcPr>
            <w:tcW w:w="2122" w:type="dxa"/>
            <w:tcBorders>
              <w:top w:val="single" w:sz="4" w:space="0" w:color="auto"/>
              <w:left w:val="single" w:sz="4" w:space="0" w:color="auto"/>
              <w:bottom w:val="single" w:sz="4" w:space="0" w:color="auto"/>
              <w:right w:val="single" w:sz="4" w:space="0" w:color="auto"/>
            </w:tcBorders>
            <w:vAlign w:val="center"/>
          </w:tcPr>
          <w:p w14:paraId="5C10145C" w14:textId="77777777" w:rsidR="00974478" w:rsidRPr="007574B9" w:rsidRDefault="00974478" w:rsidP="005F3356">
            <w:pPr>
              <w:rPr>
                <w:rFonts w:ascii="Arial" w:eastAsia="Times New Roman" w:hAnsi="Arial" w:cs="Arial"/>
                <w:sz w:val="22"/>
                <w:szCs w:val="22"/>
                <w:lang w:eastAsia="es-ES"/>
              </w:rPr>
            </w:pPr>
            <w:r w:rsidRPr="007574B9">
              <w:rPr>
                <w:rFonts w:ascii="Arial" w:eastAsia="Times New Roman" w:hAnsi="Arial" w:cs="Arial"/>
                <w:sz w:val="22"/>
                <w:szCs w:val="22"/>
                <w:lang w:eastAsia="es-ES"/>
              </w:rPr>
              <w:t>COMITÉ INSTITUCIONAL DE COORDINACIÓN DE CONTROL INTERNO</w:t>
            </w:r>
          </w:p>
        </w:tc>
        <w:tc>
          <w:tcPr>
            <w:tcW w:w="1842" w:type="dxa"/>
            <w:tcBorders>
              <w:top w:val="single" w:sz="4" w:space="0" w:color="auto"/>
              <w:left w:val="single" w:sz="4" w:space="0" w:color="auto"/>
              <w:bottom w:val="single" w:sz="4" w:space="0" w:color="auto"/>
              <w:right w:val="single" w:sz="4" w:space="0" w:color="auto"/>
            </w:tcBorders>
            <w:vAlign w:val="center"/>
          </w:tcPr>
          <w:p w14:paraId="6FE9FDE3" w14:textId="77777777" w:rsidR="00974478" w:rsidRPr="007574B9" w:rsidRDefault="00974478" w:rsidP="005F3356">
            <w:pPr>
              <w:rPr>
                <w:rFonts w:ascii="Arial" w:eastAsia="Times New Roman" w:hAnsi="Arial" w:cs="Arial"/>
                <w:sz w:val="22"/>
                <w:szCs w:val="22"/>
                <w:lang w:eastAsia="es-ES"/>
              </w:rPr>
            </w:pPr>
            <w:r w:rsidRPr="007574B9">
              <w:rPr>
                <w:rFonts w:ascii="Arial" w:eastAsia="Times New Roman" w:hAnsi="Arial" w:cs="Arial"/>
                <w:sz w:val="22"/>
                <w:szCs w:val="22"/>
                <w:lang w:eastAsia="es-ES"/>
              </w:rPr>
              <w:t>Resolución No. 162 del 29 de mayo de 2024</w:t>
            </w:r>
          </w:p>
        </w:tc>
        <w:tc>
          <w:tcPr>
            <w:tcW w:w="1843" w:type="dxa"/>
            <w:tcBorders>
              <w:top w:val="single" w:sz="4" w:space="0" w:color="auto"/>
              <w:left w:val="single" w:sz="4" w:space="0" w:color="auto"/>
              <w:bottom w:val="single" w:sz="4" w:space="0" w:color="auto"/>
              <w:right w:val="single" w:sz="4" w:space="0" w:color="auto"/>
            </w:tcBorders>
            <w:vAlign w:val="center"/>
          </w:tcPr>
          <w:p w14:paraId="7EBDDFF4" w14:textId="77777777" w:rsidR="00974478" w:rsidRPr="007574B9" w:rsidRDefault="00974478" w:rsidP="005F3356">
            <w:pPr>
              <w:jc w:val="both"/>
              <w:rPr>
                <w:rFonts w:ascii="Arial" w:eastAsia="Times New Roman" w:hAnsi="Arial" w:cs="Arial"/>
                <w:sz w:val="22"/>
                <w:szCs w:val="22"/>
                <w:lang w:eastAsia="es-ES"/>
              </w:rPr>
            </w:pPr>
            <w:r w:rsidRPr="007574B9">
              <w:rPr>
                <w:rFonts w:ascii="Arial" w:eastAsia="Times New Roman" w:hAnsi="Arial" w:cs="Arial"/>
                <w:sz w:val="22"/>
                <w:szCs w:val="22"/>
                <w:lang w:eastAsia="es-ES"/>
              </w:rPr>
              <w:t>“Por la cual se integra y establece el reglamento de funcionamiento del Comité Institucional de Coordinación de Control Interno de la Promotora de Eventos y Turismo SAS”</w:t>
            </w:r>
          </w:p>
        </w:tc>
        <w:tc>
          <w:tcPr>
            <w:tcW w:w="3685" w:type="dxa"/>
            <w:tcBorders>
              <w:top w:val="single" w:sz="4" w:space="0" w:color="auto"/>
              <w:left w:val="single" w:sz="4" w:space="0" w:color="auto"/>
              <w:bottom w:val="single" w:sz="4" w:space="0" w:color="auto"/>
              <w:right w:val="single" w:sz="4" w:space="0" w:color="auto"/>
            </w:tcBorders>
            <w:vAlign w:val="center"/>
          </w:tcPr>
          <w:p w14:paraId="55458275" w14:textId="77777777" w:rsidR="00974478" w:rsidRPr="007574B9" w:rsidRDefault="00974478" w:rsidP="005F3356">
            <w:pPr>
              <w:spacing w:line="276" w:lineRule="auto"/>
              <w:jc w:val="both"/>
              <w:outlineLvl w:val="0"/>
              <w:rPr>
                <w:rFonts w:ascii="Arial" w:eastAsia="Times New Roman" w:hAnsi="Arial" w:cs="Arial"/>
                <w:sz w:val="22"/>
                <w:szCs w:val="22"/>
                <w:lang w:eastAsia="es-ES"/>
              </w:rPr>
            </w:pPr>
            <w:r w:rsidRPr="007574B9">
              <w:rPr>
                <w:rFonts w:ascii="Arial" w:eastAsia="Times New Roman" w:hAnsi="Arial" w:cs="Arial"/>
                <w:sz w:val="22"/>
                <w:szCs w:val="22"/>
                <w:lang w:eastAsia="es-ES"/>
              </w:rPr>
              <w:t xml:space="preserve">El Comité Institucional de Coordinación de Control Interno es un órgano de asesoría y decisión en los asuntos de control interno de la Promotora de Eventos y Turismo SAS. En su rol de responsable y facilitador, hace parte de las instancias de articulación para el funcionamiento armónico del Sistema de Control Interno. </w:t>
            </w:r>
          </w:p>
        </w:tc>
      </w:tr>
    </w:tbl>
    <w:p w14:paraId="3DF702B4" w14:textId="77777777" w:rsidR="00974478" w:rsidRPr="007574B9" w:rsidRDefault="00974478" w:rsidP="00974478">
      <w:pPr>
        <w:spacing w:line="276" w:lineRule="auto"/>
        <w:jc w:val="both"/>
        <w:outlineLvl w:val="0"/>
        <w:rPr>
          <w:rFonts w:ascii="Arial" w:hAnsi="Arial" w:cs="Arial"/>
          <w:b/>
          <w:sz w:val="22"/>
          <w:szCs w:val="22"/>
        </w:rPr>
      </w:pPr>
    </w:p>
    <w:p w14:paraId="482F99AB" w14:textId="77777777" w:rsidR="00974478" w:rsidRPr="007574B9" w:rsidRDefault="00974478" w:rsidP="00974478">
      <w:pPr>
        <w:spacing w:line="276" w:lineRule="auto"/>
        <w:jc w:val="both"/>
        <w:outlineLvl w:val="0"/>
        <w:rPr>
          <w:rFonts w:ascii="Arial" w:hAnsi="Arial" w:cs="Arial"/>
          <w:sz w:val="22"/>
          <w:szCs w:val="22"/>
        </w:rPr>
      </w:pPr>
      <w:r w:rsidRPr="007574B9">
        <w:rPr>
          <w:rFonts w:ascii="Arial" w:hAnsi="Arial" w:cs="Arial"/>
          <w:sz w:val="22"/>
          <w:szCs w:val="22"/>
        </w:rPr>
        <w:t>Adicional a lo anterior la Promotora se compromete a desarrollar actividades de sensibilización del código de integridad y de la cultura de la legalidad como mecanismo de debida diligencia entre los funcionarios y contratistas de la entidad.</w:t>
      </w:r>
    </w:p>
    <w:p w14:paraId="65270CA3" w14:textId="77777777" w:rsidR="00974478" w:rsidRPr="007574B9" w:rsidRDefault="00974478" w:rsidP="00974478">
      <w:pPr>
        <w:autoSpaceDE w:val="0"/>
        <w:autoSpaceDN w:val="0"/>
        <w:adjustRightInd w:val="0"/>
        <w:spacing w:line="276" w:lineRule="auto"/>
        <w:rPr>
          <w:rFonts w:ascii="Arial" w:hAnsi="Arial" w:cs="Arial"/>
          <w:b/>
          <w:sz w:val="22"/>
          <w:szCs w:val="22"/>
          <w:lang w:eastAsia="es-ES"/>
        </w:rPr>
      </w:pPr>
      <w:r w:rsidRPr="007574B9">
        <w:rPr>
          <w:rFonts w:ascii="Arial" w:hAnsi="Arial" w:cs="Arial"/>
          <w:b/>
          <w:sz w:val="22"/>
          <w:szCs w:val="22"/>
          <w:lang w:eastAsia="es-ES"/>
        </w:rPr>
        <w:t xml:space="preserve">Anexo: Componente 1 – Medidas de Debida Diligencia   </w:t>
      </w:r>
    </w:p>
    <w:p w14:paraId="348E176A" w14:textId="77777777" w:rsidR="00974478" w:rsidRPr="007574B9" w:rsidRDefault="00974478" w:rsidP="00974478">
      <w:pPr>
        <w:pStyle w:val="Prrafodelista"/>
        <w:numPr>
          <w:ilvl w:val="0"/>
          <w:numId w:val="2"/>
        </w:numPr>
        <w:spacing w:after="160" w:line="276" w:lineRule="auto"/>
        <w:jc w:val="both"/>
        <w:outlineLvl w:val="0"/>
        <w:rPr>
          <w:rFonts w:ascii="Arial" w:hAnsi="Arial" w:cs="Arial"/>
          <w:b/>
          <w:sz w:val="22"/>
          <w:szCs w:val="22"/>
        </w:rPr>
      </w:pPr>
      <w:r w:rsidRPr="007574B9">
        <w:rPr>
          <w:rFonts w:ascii="Arial" w:hAnsi="Arial" w:cs="Arial"/>
          <w:b/>
          <w:sz w:val="22"/>
          <w:szCs w:val="22"/>
        </w:rPr>
        <w:lastRenderedPageBreak/>
        <w:t>PREVENCIÓN, GESTIÓN Y ADMINISTRACIÓN DE RIESGOS DE CORRUPCIÓN</w:t>
      </w:r>
    </w:p>
    <w:p w14:paraId="4A25001E" w14:textId="77777777" w:rsidR="00974478" w:rsidRPr="007574B9" w:rsidRDefault="00974478" w:rsidP="00974478">
      <w:pPr>
        <w:spacing w:line="276" w:lineRule="auto"/>
        <w:jc w:val="both"/>
        <w:outlineLvl w:val="0"/>
        <w:rPr>
          <w:rFonts w:ascii="Arial" w:hAnsi="Arial" w:cs="Arial"/>
          <w:sz w:val="22"/>
          <w:szCs w:val="22"/>
        </w:rPr>
      </w:pPr>
      <w:r w:rsidRPr="007574B9">
        <w:rPr>
          <w:rFonts w:ascii="Arial" w:hAnsi="Arial" w:cs="Arial"/>
          <w:sz w:val="22"/>
          <w:szCs w:val="22"/>
        </w:rPr>
        <w:t xml:space="preserve">Este instrumento le permite a la entidad identificar, analizar y controlar los posibles hechos de corrupción generados, tanto interna como externamente. Para la construcción de la herramienta se toman como referente los lineamientos impartidos por el Departamento Administrativo de la Función Pública a través de la guía para la administración del riesgo y el diseño de controles en entidades públicas. El componente de prevención, gestión y administración de riesgos de corrupción, abarca las siguientes estrategias: </w:t>
      </w:r>
    </w:p>
    <w:p w14:paraId="08826B19"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sz w:val="22"/>
          <w:szCs w:val="22"/>
        </w:rPr>
        <w:br/>
      </w:r>
      <w:r w:rsidRPr="007574B9">
        <w:rPr>
          <w:rFonts w:ascii="Arial" w:hAnsi="Arial" w:cs="Arial"/>
          <w:b/>
          <w:noProof/>
          <w:sz w:val="22"/>
          <w:szCs w:val="22"/>
        </w:rPr>
        <w:drawing>
          <wp:inline distT="0" distB="0" distL="0" distR="0" wp14:anchorId="40D774FF" wp14:editId="24B03BF8">
            <wp:extent cx="5486400" cy="3200400"/>
            <wp:effectExtent l="0" t="0" r="0" b="19050"/>
            <wp:docPr id="1372939900"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E535CA7" w14:textId="77777777" w:rsidR="00974478" w:rsidRPr="007574B9" w:rsidRDefault="00974478" w:rsidP="00974478">
      <w:pPr>
        <w:pStyle w:val="Default"/>
        <w:spacing w:line="276" w:lineRule="auto"/>
        <w:jc w:val="both"/>
        <w:rPr>
          <w:color w:val="auto"/>
          <w:sz w:val="22"/>
          <w:szCs w:val="22"/>
        </w:rPr>
      </w:pPr>
    </w:p>
    <w:p w14:paraId="2F16197B" w14:textId="77777777" w:rsidR="00974478" w:rsidRPr="007574B9" w:rsidRDefault="00974478" w:rsidP="00974478">
      <w:pPr>
        <w:spacing w:line="276" w:lineRule="auto"/>
        <w:jc w:val="both"/>
        <w:outlineLvl w:val="0"/>
        <w:rPr>
          <w:rFonts w:ascii="Arial" w:hAnsi="Arial" w:cs="Arial"/>
          <w:sz w:val="22"/>
          <w:szCs w:val="22"/>
        </w:rPr>
      </w:pPr>
      <w:r w:rsidRPr="007574B9">
        <w:rPr>
          <w:rFonts w:ascii="Arial" w:hAnsi="Arial" w:cs="Arial"/>
          <w:sz w:val="22"/>
          <w:szCs w:val="22"/>
        </w:rPr>
        <w:t>Este componente se asume dentro del Programa de Transparencia y Ética Pública como una herramienta para la prevención de la corrupción. Se concibe como el conjunto de actividades que le permiten a una entidad identificar, analizar evaluar y mitigar la ocurrencia de riesgos de corrupción en los procesos de su gestión. El resultado de todas estas actividades se materializa en el Mapa de Riesgos de Corrupción.</w:t>
      </w:r>
    </w:p>
    <w:p w14:paraId="7DDC60F7" w14:textId="77777777" w:rsidR="00974478" w:rsidRPr="007574B9" w:rsidRDefault="00974478" w:rsidP="00974478">
      <w:pPr>
        <w:spacing w:line="276" w:lineRule="auto"/>
        <w:jc w:val="both"/>
        <w:outlineLvl w:val="0"/>
        <w:rPr>
          <w:rFonts w:ascii="Arial" w:hAnsi="Arial" w:cs="Arial"/>
          <w:sz w:val="22"/>
          <w:szCs w:val="22"/>
        </w:rPr>
      </w:pPr>
      <w:r w:rsidRPr="007574B9">
        <w:rPr>
          <w:rFonts w:ascii="Arial" w:hAnsi="Arial" w:cs="Arial"/>
          <w:sz w:val="22"/>
          <w:szCs w:val="22"/>
        </w:rPr>
        <w:t>La identificación, valoración, seguimiento y evaluación a los riesgos de corrupción, plantea el deber institucional y de cada líder de proceso frente al establecimiento de controles sobre los riesgos identificados y valorados que puedan afectar la satisfacción del cliente y el logro de los objetivos de la entidad, como herramienta estratégica que permita anticipar y responder de manera oportuna y óptima al control de dichos riesgos.</w:t>
      </w:r>
    </w:p>
    <w:p w14:paraId="0A80E968" w14:textId="77777777" w:rsidR="00974478" w:rsidRPr="007574B9" w:rsidRDefault="00974478" w:rsidP="00974478">
      <w:pPr>
        <w:spacing w:line="276" w:lineRule="auto"/>
        <w:jc w:val="both"/>
        <w:outlineLvl w:val="0"/>
        <w:rPr>
          <w:rFonts w:ascii="Arial" w:hAnsi="Arial" w:cs="Arial"/>
          <w:sz w:val="22"/>
          <w:szCs w:val="22"/>
        </w:rPr>
      </w:pPr>
      <w:r w:rsidRPr="007574B9">
        <w:rPr>
          <w:rFonts w:ascii="Arial" w:hAnsi="Arial" w:cs="Arial"/>
          <w:sz w:val="22"/>
          <w:szCs w:val="22"/>
        </w:rPr>
        <w:lastRenderedPageBreak/>
        <w:t xml:space="preserve">La identificación de los riesgos de corrupción se realizó paralelamente a los riesgos de gestión y ambos consolidan el mapa de riesgos de la entidad. </w:t>
      </w:r>
    </w:p>
    <w:p w14:paraId="0E86F00F" w14:textId="77777777" w:rsidR="00974478" w:rsidRPr="007574B9" w:rsidRDefault="00974478" w:rsidP="00974478">
      <w:pPr>
        <w:autoSpaceDE w:val="0"/>
        <w:autoSpaceDN w:val="0"/>
        <w:adjustRightInd w:val="0"/>
        <w:spacing w:line="276" w:lineRule="auto"/>
        <w:jc w:val="both"/>
        <w:rPr>
          <w:rFonts w:ascii="Arial" w:hAnsi="Arial" w:cs="Arial"/>
          <w:b/>
          <w:sz w:val="22"/>
          <w:szCs w:val="22"/>
          <w:lang w:eastAsia="es-ES"/>
        </w:rPr>
      </w:pPr>
      <w:r w:rsidRPr="007574B9">
        <w:rPr>
          <w:rFonts w:ascii="Arial" w:hAnsi="Arial" w:cs="Arial"/>
          <w:b/>
          <w:sz w:val="22"/>
          <w:szCs w:val="22"/>
          <w:lang w:eastAsia="es-ES"/>
        </w:rPr>
        <w:t>Anexo: Componente 2 – Prevención, gestión y administración de riesgos de corrupción</w:t>
      </w:r>
    </w:p>
    <w:p w14:paraId="69B4288B" w14:textId="77777777" w:rsidR="00974478" w:rsidRPr="007574B9" w:rsidRDefault="00974478" w:rsidP="00974478">
      <w:pPr>
        <w:autoSpaceDE w:val="0"/>
        <w:autoSpaceDN w:val="0"/>
        <w:adjustRightInd w:val="0"/>
        <w:spacing w:line="276" w:lineRule="auto"/>
        <w:jc w:val="both"/>
        <w:rPr>
          <w:rFonts w:ascii="Arial" w:hAnsi="Arial" w:cs="Arial"/>
          <w:b/>
          <w:sz w:val="22"/>
          <w:szCs w:val="22"/>
          <w:lang w:eastAsia="es-ES"/>
        </w:rPr>
      </w:pPr>
    </w:p>
    <w:p w14:paraId="3F844612" w14:textId="77777777" w:rsidR="00974478" w:rsidRPr="007574B9" w:rsidRDefault="00974478" w:rsidP="00974478">
      <w:pPr>
        <w:autoSpaceDE w:val="0"/>
        <w:autoSpaceDN w:val="0"/>
        <w:adjustRightInd w:val="0"/>
        <w:spacing w:line="276" w:lineRule="auto"/>
        <w:jc w:val="both"/>
        <w:rPr>
          <w:rFonts w:ascii="Arial" w:hAnsi="Arial" w:cs="Arial"/>
          <w:b/>
          <w:sz w:val="22"/>
          <w:szCs w:val="22"/>
        </w:rPr>
      </w:pPr>
      <w:r w:rsidRPr="007574B9">
        <w:rPr>
          <w:rFonts w:ascii="Arial" w:hAnsi="Arial" w:cs="Arial"/>
          <w:b/>
          <w:sz w:val="22"/>
          <w:szCs w:val="22"/>
          <w:lang w:eastAsia="es-ES"/>
        </w:rPr>
        <w:t xml:space="preserve">  </w:t>
      </w:r>
    </w:p>
    <w:p w14:paraId="5080F7C1" w14:textId="77777777" w:rsidR="00974478" w:rsidRPr="007574B9" w:rsidRDefault="00974478" w:rsidP="00974478">
      <w:pPr>
        <w:pStyle w:val="Prrafodelista"/>
        <w:numPr>
          <w:ilvl w:val="0"/>
          <w:numId w:val="2"/>
        </w:numPr>
        <w:spacing w:after="160" w:line="276" w:lineRule="auto"/>
        <w:jc w:val="both"/>
        <w:outlineLvl w:val="0"/>
        <w:rPr>
          <w:rFonts w:ascii="Arial" w:hAnsi="Arial" w:cs="Arial"/>
          <w:b/>
          <w:sz w:val="22"/>
          <w:szCs w:val="22"/>
        </w:rPr>
      </w:pPr>
      <w:r w:rsidRPr="007574B9">
        <w:rPr>
          <w:rFonts w:ascii="Arial" w:hAnsi="Arial" w:cs="Arial"/>
          <w:b/>
          <w:sz w:val="22"/>
          <w:szCs w:val="22"/>
        </w:rPr>
        <w:t xml:space="preserve">REDES INTERINSTITUCIONALES PARA EL FORTALECIMIENTO DE PREVENCIÓN DE ACTOS DE CORRUPCIÓN, TRANSPARENCIA Y LEGALIDAD </w:t>
      </w:r>
    </w:p>
    <w:p w14:paraId="7EAD916F" w14:textId="77777777" w:rsidR="00974478" w:rsidRPr="007574B9" w:rsidRDefault="00974478" w:rsidP="00974478">
      <w:pPr>
        <w:spacing w:line="276" w:lineRule="auto"/>
        <w:jc w:val="both"/>
        <w:outlineLvl w:val="0"/>
        <w:rPr>
          <w:rFonts w:ascii="Arial" w:hAnsi="Arial" w:cs="Arial"/>
          <w:sz w:val="22"/>
          <w:szCs w:val="22"/>
        </w:rPr>
      </w:pPr>
      <w:r w:rsidRPr="007574B9">
        <w:rPr>
          <w:rFonts w:ascii="Arial" w:hAnsi="Arial" w:cs="Arial"/>
          <w:sz w:val="22"/>
          <w:szCs w:val="22"/>
        </w:rPr>
        <w:t xml:space="preserve">La Promotora de Eventos y Turismo SAS en busca de fortalecer los mecanismos de lucha contra la corrupción, acercar a los ciudadanos a la institución a través del uso de canales de participación ciudadana y transparencia, y prevenir actos que atenten contra el buen funcionamiento del Estado y la debida administración de los recursos públicos, se propone dentro del presente componente, crear la Red Interinstitucional de Transparencia y Anticorrupción. </w:t>
      </w:r>
    </w:p>
    <w:p w14:paraId="63B145DC"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 xml:space="preserve">Esta Red, debe propender por mejorar el proceso de relación con el ciudadano, con la actualización de procedimientos, instrumentos y directrices internas para la adecuada gestión de peticiones, quejas, reclamos, sugerencias y denuncias, y brindando a los ciudadanos lineamientos claros, facilitando el acceso a la información y a los servicios de la Promotora. </w:t>
      </w:r>
    </w:p>
    <w:p w14:paraId="22D1F08D"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 xml:space="preserve">Adicional a lo anterior, la Promotora plantea la aplicación de las encuestas de satisfacción al usuario, con las cuales se pretende establecer los estándares de cumplimiento de los servicios y si estos son visibles y reconocidos por los grupos interés. Las mediciones de satisfacción se realizan en Casas de la Cultura, Bibliotecas Públicas y la Banda Municipal, cuyos resultados serán presentados a la Red Interinstitucional de Transparencia y Anticorrupción para la toma de decisiones. </w:t>
      </w:r>
    </w:p>
    <w:p w14:paraId="6B060CB7"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 xml:space="preserve">Por último, el sitio web de la Promotora de Eventos y Turismo SAS, cuenta con micrositios relativos a su misionalidad, en los cuales se publican los servicios e información de programas relevantes para la comunidad, en lenguaje claro y estructurado. </w:t>
      </w:r>
    </w:p>
    <w:p w14:paraId="6222AADC"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 xml:space="preserve">Todas las estrategias planteadas en el presente componente, tienen como herramienta de gestión la Matriz ITA (índice de transparencia y acceso a la información) que se encuentra publicada en </w:t>
      </w:r>
      <w:hyperlink r:id="rId12" w:history="1">
        <w:r w:rsidRPr="007574B9">
          <w:rPr>
            <w:rFonts w:ascii="Arial" w:eastAsia="ArialMT" w:hAnsi="Arial" w:cs="Arial"/>
            <w:sz w:val="22"/>
            <w:szCs w:val="22"/>
            <w:u w:val="single"/>
          </w:rPr>
          <w:t>https://www.procuraduria.gov.co/Pages/ita.aspx</w:t>
        </w:r>
      </w:hyperlink>
      <w:r w:rsidRPr="007574B9">
        <w:rPr>
          <w:rFonts w:ascii="Arial" w:eastAsia="ArialMT" w:hAnsi="Arial" w:cs="Arial"/>
          <w:sz w:val="22"/>
          <w:szCs w:val="22"/>
          <w:u w:val="single"/>
        </w:rPr>
        <w:t xml:space="preserve"> </w:t>
      </w:r>
      <w:r w:rsidRPr="007574B9">
        <w:rPr>
          <w:rFonts w:ascii="Arial" w:eastAsia="ArialMT" w:hAnsi="Arial" w:cs="Arial"/>
          <w:sz w:val="22"/>
          <w:szCs w:val="22"/>
        </w:rPr>
        <w:t xml:space="preserve">y que es un instrumento aplicable y de medición para las entidades públicas. </w:t>
      </w:r>
    </w:p>
    <w:p w14:paraId="6701A6CA" w14:textId="77777777" w:rsidR="00974478" w:rsidRPr="007574B9" w:rsidRDefault="00974478" w:rsidP="00974478">
      <w:pPr>
        <w:autoSpaceDE w:val="0"/>
        <w:autoSpaceDN w:val="0"/>
        <w:adjustRightInd w:val="0"/>
        <w:spacing w:line="276" w:lineRule="auto"/>
        <w:jc w:val="both"/>
        <w:rPr>
          <w:rFonts w:ascii="Arial" w:hAnsi="Arial" w:cs="Arial"/>
          <w:b/>
          <w:sz w:val="22"/>
          <w:szCs w:val="22"/>
          <w:lang w:eastAsia="es-ES"/>
        </w:rPr>
      </w:pPr>
      <w:r w:rsidRPr="007574B9">
        <w:rPr>
          <w:rFonts w:ascii="Arial" w:hAnsi="Arial" w:cs="Arial"/>
          <w:b/>
          <w:sz w:val="22"/>
          <w:szCs w:val="22"/>
          <w:lang w:eastAsia="es-ES"/>
        </w:rPr>
        <w:t xml:space="preserve">Anexo: Componente 3 – Redes interinstitucionales para el fortalecimiento de prevención de actos de corrupción, transparencia y legalidad </w:t>
      </w:r>
    </w:p>
    <w:p w14:paraId="456890AA" w14:textId="6B345159" w:rsidR="00974478" w:rsidRDefault="00974478" w:rsidP="00974478">
      <w:pPr>
        <w:autoSpaceDE w:val="0"/>
        <w:autoSpaceDN w:val="0"/>
        <w:adjustRightInd w:val="0"/>
        <w:spacing w:line="276" w:lineRule="auto"/>
        <w:jc w:val="both"/>
        <w:rPr>
          <w:rFonts w:ascii="Arial" w:hAnsi="Arial" w:cs="Arial"/>
          <w:b/>
          <w:sz w:val="22"/>
          <w:szCs w:val="22"/>
          <w:lang w:eastAsia="es-ES"/>
        </w:rPr>
      </w:pPr>
    </w:p>
    <w:p w14:paraId="5121C46F" w14:textId="1779AEF8" w:rsidR="007574B9" w:rsidRDefault="007574B9" w:rsidP="00974478">
      <w:pPr>
        <w:autoSpaceDE w:val="0"/>
        <w:autoSpaceDN w:val="0"/>
        <w:adjustRightInd w:val="0"/>
        <w:spacing w:line="276" w:lineRule="auto"/>
        <w:jc w:val="both"/>
        <w:rPr>
          <w:rFonts w:ascii="Arial" w:hAnsi="Arial" w:cs="Arial"/>
          <w:b/>
          <w:sz w:val="22"/>
          <w:szCs w:val="22"/>
          <w:lang w:eastAsia="es-ES"/>
        </w:rPr>
      </w:pPr>
    </w:p>
    <w:p w14:paraId="323A0F00" w14:textId="77777777" w:rsidR="007574B9" w:rsidRPr="007574B9" w:rsidRDefault="007574B9" w:rsidP="00974478">
      <w:pPr>
        <w:autoSpaceDE w:val="0"/>
        <w:autoSpaceDN w:val="0"/>
        <w:adjustRightInd w:val="0"/>
        <w:spacing w:line="276" w:lineRule="auto"/>
        <w:jc w:val="both"/>
        <w:rPr>
          <w:rFonts w:ascii="Arial" w:hAnsi="Arial" w:cs="Arial"/>
          <w:b/>
          <w:sz w:val="22"/>
          <w:szCs w:val="22"/>
          <w:lang w:eastAsia="es-ES"/>
        </w:rPr>
      </w:pPr>
    </w:p>
    <w:p w14:paraId="57829835" w14:textId="77777777" w:rsidR="00974478" w:rsidRPr="007574B9" w:rsidRDefault="00974478" w:rsidP="00974478">
      <w:pPr>
        <w:spacing w:line="276" w:lineRule="auto"/>
        <w:jc w:val="both"/>
        <w:outlineLvl w:val="0"/>
        <w:rPr>
          <w:rFonts w:ascii="Arial" w:eastAsia="ArialMT" w:hAnsi="Arial" w:cs="Arial"/>
          <w:sz w:val="22"/>
          <w:szCs w:val="22"/>
        </w:rPr>
      </w:pPr>
    </w:p>
    <w:p w14:paraId="481609E9" w14:textId="77777777" w:rsidR="00974478" w:rsidRPr="007574B9" w:rsidRDefault="00974478" w:rsidP="00974478">
      <w:pPr>
        <w:pStyle w:val="Prrafodelista"/>
        <w:numPr>
          <w:ilvl w:val="0"/>
          <w:numId w:val="2"/>
        </w:numPr>
        <w:spacing w:after="160" w:line="276" w:lineRule="auto"/>
        <w:jc w:val="both"/>
        <w:outlineLvl w:val="0"/>
        <w:rPr>
          <w:rFonts w:ascii="Arial" w:hAnsi="Arial" w:cs="Arial"/>
          <w:b/>
          <w:sz w:val="22"/>
          <w:szCs w:val="22"/>
        </w:rPr>
      </w:pPr>
      <w:r w:rsidRPr="007574B9">
        <w:rPr>
          <w:rFonts w:ascii="Arial" w:hAnsi="Arial" w:cs="Arial"/>
          <w:b/>
          <w:sz w:val="22"/>
          <w:szCs w:val="22"/>
        </w:rPr>
        <w:lastRenderedPageBreak/>
        <w:t xml:space="preserve">CANALES DE DENUNCIA </w:t>
      </w:r>
    </w:p>
    <w:p w14:paraId="108715A0"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La Promotora de Eventos y Turismo SAS cuenta con diferentes canales de atención a través de los cuales la ciudadanía puede presentar sus peticiones, quejas, reclamos, sugerencias y denuncias (PQRSD).</w:t>
      </w:r>
    </w:p>
    <w:p w14:paraId="295556C5"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 xml:space="preserve">La entidad cuenta con el procedimiento “Respuesta PQRSD”, cuyo objetivo es controlar el recibo, respuesta y solución de las solicitudes hechas a la Promotora de Eventos y Turismo SAS, por los ciudadanos, funcionarios de la administración, instituciones o entes de control, de manera oportuna y eficiente. </w:t>
      </w:r>
    </w:p>
    <w:p w14:paraId="49EE8D85"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 xml:space="preserve">Igualmente, a través de la página web de la entidad se publican los informes trimestrales y semestrales de PQRSD, en el cual se establece la tipología de cada solicitud (derecho de petición, solicitud de información, consulta de documentos, queja, reclamo, sugerencia, denuncia y documentos informativos), el número de respuestas dadas dentro de los términos de ley o por fuera de ellos, y a que dependencia se le asignaron las solicitudes. </w:t>
      </w:r>
    </w:p>
    <w:p w14:paraId="5FB80BDE" w14:textId="785E4199" w:rsidR="00974478" w:rsidRDefault="00974478" w:rsidP="00974478">
      <w:pPr>
        <w:spacing w:line="276" w:lineRule="auto"/>
        <w:jc w:val="both"/>
        <w:outlineLvl w:val="0"/>
        <w:rPr>
          <w:rFonts w:ascii="Arial" w:hAnsi="Arial" w:cs="Arial"/>
          <w:sz w:val="22"/>
          <w:szCs w:val="22"/>
        </w:rPr>
      </w:pPr>
      <w:r w:rsidRPr="007574B9">
        <w:rPr>
          <w:rFonts w:ascii="Arial" w:hAnsi="Arial" w:cs="Arial"/>
          <w:sz w:val="22"/>
          <w:szCs w:val="22"/>
        </w:rPr>
        <w:t xml:space="preserve">Canales Institucionales de Atención al Ciudadano de la Promotora, conforme a lo establecido en el Artículo 76 de la Ley 1474 de 2011: </w:t>
      </w:r>
    </w:p>
    <w:p w14:paraId="5307792D" w14:textId="77777777" w:rsidR="007574B9" w:rsidRPr="007574B9" w:rsidRDefault="007574B9" w:rsidP="00974478">
      <w:pPr>
        <w:spacing w:line="276" w:lineRule="auto"/>
        <w:jc w:val="both"/>
        <w:outlineLvl w:val="0"/>
        <w:rPr>
          <w:rFonts w:ascii="Arial" w:hAnsi="Arial" w:cs="Arial"/>
          <w:sz w:val="22"/>
          <w:szCs w:val="22"/>
        </w:rPr>
      </w:pPr>
    </w:p>
    <w:p w14:paraId="32AC3AB6" w14:textId="77777777" w:rsidR="00974478" w:rsidRPr="007574B9" w:rsidRDefault="00974478" w:rsidP="00974478">
      <w:pPr>
        <w:spacing w:line="276" w:lineRule="auto"/>
        <w:jc w:val="center"/>
        <w:outlineLvl w:val="0"/>
        <w:rPr>
          <w:rFonts w:ascii="Arial" w:hAnsi="Arial" w:cs="Arial"/>
          <w:b/>
          <w:sz w:val="22"/>
          <w:szCs w:val="22"/>
        </w:rPr>
      </w:pPr>
      <w:r w:rsidRPr="007574B9">
        <w:rPr>
          <w:rFonts w:ascii="Arial" w:hAnsi="Arial" w:cs="Arial"/>
          <w:noProof/>
          <w:sz w:val="22"/>
          <w:szCs w:val="22"/>
        </w:rPr>
        <w:drawing>
          <wp:inline distT="0" distB="0" distL="0" distR="0" wp14:anchorId="17F97110" wp14:editId="57732FBA">
            <wp:extent cx="4476750" cy="2897439"/>
            <wp:effectExtent l="19050" t="19050" r="19050" b="17780"/>
            <wp:docPr id="765245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6084" cy="2909952"/>
                    </a:xfrm>
                    <a:prstGeom prst="rect">
                      <a:avLst/>
                    </a:prstGeom>
                    <a:noFill/>
                    <a:ln w="3175">
                      <a:solidFill>
                        <a:schemeClr val="tx1"/>
                      </a:solidFill>
                    </a:ln>
                  </pic:spPr>
                </pic:pic>
              </a:graphicData>
            </a:graphic>
          </wp:inline>
        </w:drawing>
      </w:r>
    </w:p>
    <w:p w14:paraId="145523A6" w14:textId="77777777" w:rsidR="00974478" w:rsidRPr="007574B9" w:rsidRDefault="00974478" w:rsidP="00974478">
      <w:pPr>
        <w:autoSpaceDE w:val="0"/>
        <w:autoSpaceDN w:val="0"/>
        <w:adjustRightInd w:val="0"/>
        <w:spacing w:line="276" w:lineRule="auto"/>
        <w:jc w:val="both"/>
        <w:rPr>
          <w:rFonts w:ascii="Arial" w:hAnsi="Arial" w:cs="Arial"/>
          <w:b/>
          <w:sz w:val="22"/>
          <w:szCs w:val="22"/>
          <w:lang w:eastAsia="es-ES"/>
        </w:rPr>
      </w:pPr>
      <w:r w:rsidRPr="007574B9">
        <w:rPr>
          <w:rFonts w:ascii="Arial" w:hAnsi="Arial" w:cs="Arial"/>
          <w:b/>
          <w:sz w:val="22"/>
          <w:szCs w:val="22"/>
          <w:lang w:eastAsia="es-ES"/>
        </w:rPr>
        <w:t xml:space="preserve">Anexo: Componente 4 – Canales de denuncia </w:t>
      </w:r>
    </w:p>
    <w:p w14:paraId="21454E61" w14:textId="77777777" w:rsidR="00974478" w:rsidRPr="007574B9" w:rsidRDefault="00974478" w:rsidP="00974478">
      <w:pPr>
        <w:autoSpaceDE w:val="0"/>
        <w:autoSpaceDN w:val="0"/>
        <w:adjustRightInd w:val="0"/>
        <w:spacing w:line="276" w:lineRule="auto"/>
        <w:jc w:val="both"/>
        <w:rPr>
          <w:rFonts w:ascii="Arial" w:hAnsi="Arial" w:cs="Arial"/>
          <w:b/>
          <w:sz w:val="22"/>
          <w:szCs w:val="22"/>
          <w:lang w:eastAsia="es-ES"/>
        </w:rPr>
      </w:pPr>
    </w:p>
    <w:p w14:paraId="7ADCA61E" w14:textId="77777777" w:rsidR="00974478" w:rsidRPr="007574B9" w:rsidRDefault="00974478" w:rsidP="00974478">
      <w:pPr>
        <w:autoSpaceDE w:val="0"/>
        <w:autoSpaceDN w:val="0"/>
        <w:adjustRightInd w:val="0"/>
        <w:spacing w:line="276" w:lineRule="auto"/>
        <w:jc w:val="both"/>
        <w:rPr>
          <w:rFonts w:ascii="Arial" w:hAnsi="Arial" w:cs="Arial"/>
          <w:b/>
          <w:sz w:val="22"/>
          <w:szCs w:val="22"/>
          <w:lang w:eastAsia="es-ES"/>
        </w:rPr>
      </w:pPr>
    </w:p>
    <w:p w14:paraId="7DDDC6A7" w14:textId="77777777" w:rsidR="00974478" w:rsidRPr="007574B9" w:rsidRDefault="00974478" w:rsidP="00974478">
      <w:pPr>
        <w:autoSpaceDE w:val="0"/>
        <w:autoSpaceDN w:val="0"/>
        <w:adjustRightInd w:val="0"/>
        <w:spacing w:line="276" w:lineRule="auto"/>
        <w:jc w:val="both"/>
        <w:rPr>
          <w:rFonts w:ascii="Arial" w:hAnsi="Arial" w:cs="Arial"/>
          <w:b/>
          <w:sz w:val="22"/>
          <w:szCs w:val="22"/>
          <w:lang w:eastAsia="es-ES"/>
        </w:rPr>
      </w:pPr>
    </w:p>
    <w:p w14:paraId="401AFB50" w14:textId="77777777" w:rsidR="00974478" w:rsidRPr="007574B9" w:rsidRDefault="00974478" w:rsidP="00974478">
      <w:pPr>
        <w:autoSpaceDE w:val="0"/>
        <w:autoSpaceDN w:val="0"/>
        <w:adjustRightInd w:val="0"/>
        <w:spacing w:line="276" w:lineRule="auto"/>
        <w:jc w:val="both"/>
        <w:rPr>
          <w:rFonts w:ascii="Arial" w:hAnsi="Arial" w:cs="Arial"/>
          <w:b/>
          <w:sz w:val="22"/>
          <w:szCs w:val="22"/>
          <w:lang w:eastAsia="es-ES"/>
        </w:rPr>
      </w:pPr>
    </w:p>
    <w:p w14:paraId="662815A2" w14:textId="77777777" w:rsidR="00974478" w:rsidRPr="007574B9" w:rsidRDefault="00974478" w:rsidP="00974478">
      <w:pPr>
        <w:pStyle w:val="Prrafodelista"/>
        <w:numPr>
          <w:ilvl w:val="0"/>
          <w:numId w:val="2"/>
        </w:numPr>
        <w:spacing w:after="160" w:line="276" w:lineRule="auto"/>
        <w:jc w:val="both"/>
        <w:outlineLvl w:val="0"/>
        <w:rPr>
          <w:rFonts w:ascii="Arial" w:hAnsi="Arial" w:cs="Arial"/>
          <w:b/>
          <w:sz w:val="22"/>
          <w:szCs w:val="22"/>
        </w:rPr>
      </w:pPr>
      <w:r w:rsidRPr="007574B9">
        <w:rPr>
          <w:rFonts w:ascii="Arial" w:hAnsi="Arial" w:cs="Arial"/>
          <w:b/>
          <w:sz w:val="22"/>
          <w:szCs w:val="22"/>
        </w:rPr>
        <w:lastRenderedPageBreak/>
        <w:t xml:space="preserve">ESTRATEGIAS DE TRANSPARENCIA Y ACCESO A LA INFORMACIÓN PÚBLICA, SERVICIO AL CIUDADANO Y RENDICIÓN DE CUENTAS </w:t>
      </w:r>
    </w:p>
    <w:p w14:paraId="2AD2E56F" w14:textId="77777777" w:rsidR="00974478" w:rsidRPr="007574B9" w:rsidRDefault="00974478" w:rsidP="00974478">
      <w:pPr>
        <w:spacing w:line="276" w:lineRule="auto"/>
        <w:jc w:val="both"/>
        <w:outlineLvl w:val="0"/>
        <w:rPr>
          <w:rFonts w:ascii="Arial" w:hAnsi="Arial" w:cs="Arial"/>
          <w:sz w:val="22"/>
          <w:szCs w:val="22"/>
        </w:rPr>
      </w:pPr>
      <w:r w:rsidRPr="007574B9">
        <w:rPr>
          <w:rFonts w:ascii="Arial" w:hAnsi="Arial" w:cs="Arial"/>
          <w:sz w:val="22"/>
          <w:szCs w:val="22"/>
        </w:rPr>
        <w:t>En este componente busca facilitar el ejercicio de los derechos y la satisfacción del ciudadano, por medio de la mejora de la calidad y acceso a los servicios prestados por la Promotora. Así pues, en el presente componente se plasman una serie de acciones definidas al interior de la Promotora de Eventos y Turismo SAS en Atención al Ciudadano, Rendición de Cuentas y Transparencia y Acceso a la Información Pública:</w:t>
      </w:r>
    </w:p>
    <w:p w14:paraId="77B89748" w14:textId="77777777" w:rsidR="00974478" w:rsidRPr="007574B9" w:rsidRDefault="00974478" w:rsidP="00974478">
      <w:pPr>
        <w:spacing w:line="276" w:lineRule="auto"/>
        <w:jc w:val="both"/>
        <w:outlineLvl w:val="0"/>
        <w:rPr>
          <w:rFonts w:ascii="Arial" w:hAnsi="Arial" w:cs="Arial"/>
          <w:b/>
          <w:bCs/>
          <w:sz w:val="22"/>
          <w:szCs w:val="22"/>
        </w:rPr>
      </w:pPr>
    </w:p>
    <w:p w14:paraId="7F909BB0" w14:textId="77777777" w:rsidR="00974478" w:rsidRPr="007574B9" w:rsidRDefault="00974478" w:rsidP="00974478">
      <w:pPr>
        <w:spacing w:line="276" w:lineRule="auto"/>
        <w:jc w:val="both"/>
        <w:outlineLvl w:val="0"/>
        <w:rPr>
          <w:rFonts w:ascii="Arial" w:hAnsi="Arial" w:cs="Arial"/>
          <w:b/>
          <w:bCs/>
          <w:sz w:val="22"/>
          <w:szCs w:val="22"/>
        </w:rPr>
      </w:pPr>
      <w:r w:rsidRPr="007574B9">
        <w:rPr>
          <w:rFonts w:ascii="Arial" w:hAnsi="Arial" w:cs="Arial"/>
          <w:b/>
          <w:bCs/>
          <w:sz w:val="22"/>
          <w:szCs w:val="22"/>
        </w:rPr>
        <w:t xml:space="preserve">Atención al ciudadano </w:t>
      </w:r>
    </w:p>
    <w:p w14:paraId="69B1BCED" w14:textId="77777777" w:rsidR="00974478" w:rsidRPr="007574B9" w:rsidRDefault="00974478" w:rsidP="00974478">
      <w:pPr>
        <w:spacing w:line="276" w:lineRule="auto"/>
        <w:jc w:val="both"/>
        <w:outlineLvl w:val="0"/>
        <w:rPr>
          <w:rFonts w:ascii="Arial" w:hAnsi="Arial" w:cs="Arial"/>
          <w:b/>
          <w:bCs/>
          <w:sz w:val="22"/>
          <w:szCs w:val="22"/>
        </w:rPr>
      </w:pPr>
    </w:p>
    <w:p w14:paraId="62A9B207" w14:textId="77777777" w:rsidR="00974478" w:rsidRPr="007574B9" w:rsidRDefault="00974478" w:rsidP="00974478">
      <w:pPr>
        <w:autoSpaceDE w:val="0"/>
        <w:autoSpaceDN w:val="0"/>
        <w:adjustRightInd w:val="0"/>
        <w:spacing w:line="276" w:lineRule="auto"/>
        <w:jc w:val="both"/>
        <w:rPr>
          <w:rFonts w:ascii="Arial" w:hAnsi="Arial" w:cs="Arial"/>
          <w:sz w:val="22"/>
          <w:szCs w:val="22"/>
          <w:lang w:eastAsia="es-CO"/>
        </w:rPr>
      </w:pPr>
      <w:r w:rsidRPr="007574B9">
        <w:rPr>
          <w:rFonts w:ascii="Arial" w:hAnsi="Arial" w:cs="Arial"/>
          <w:sz w:val="22"/>
          <w:szCs w:val="22"/>
          <w:lang w:eastAsia="es-CO"/>
        </w:rPr>
        <w:t xml:space="preserve">Este subcomponente busca mejorar la calidad de los servicios de la Promotora de Eventos y Turismo SAS, por medio de un </w:t>
      </w:r>
      <w:r w:rsidRPr="007574B9">
        <w:rPr>
          <w:rFonts w:ascii="Arial" w:hAnsi="Arial" w:cs="Arial"/>
          <w:spacing w:val="3"/>
          <w:sz w:val="22"/>
          <w:szCs w:val="22"/>
        </w:rPr>
        <w:t xml:space="preserve">acercamiento con el </w:t>
      </w:r>
      <w:r w:rsidRPr="007574B9">
        <w:rPr>
          <w:rFonts w:ascii="Arial" w:hAnsi="Arial" w:cs="Arial"/>
          <w:spacing w:val="-2"/>
          <w:sz w:val="22"/>
          <w:szCs w:val="22"/>
        </w:rPr>
        <w:t>usuario,</w:t>
      </w:r>
      <w:r w:rsidRPr="007574B9">
        <w:rPr>
          <w:rFonts w:ascii="Arial" w:hAnsi="Arial" w:cs="Arial"/>
          <w:sz w:val="22"/>
          <w:szCs w:val="22"/>
          <w:lang w:eastAsia="es-CO"/>
        </w:rPr>
        <w:t xml:space="preserve"> generando satisfacción y facilitando el ejercicio de sus derechos.</w:t>
      </w:r>
    </w:p>
    <w:p w14:paraId="231F9FE5" w14:textId="77777777" w:rsidR="00974478" w:rsidRPr="007574B9" w:rsidRDefault="00974478" w:rsidP="00974478">
      <w:pPr>
        <w:spacing w:line="276" w:lineRule="auto"/>
        <w:jc w:val="both"/>
        <w:rPr>
          <w:rFonts w:ascii="Arial" w:hAnsi="Arial" w:cs="Arial"/>
          <w:bCs/>
          <w:sz w:val="22"/>
          <w:szCs w:val="22"/>
        </w:rPr>
      </w:pPr>
      <w:r w:rsidRPr="007574B9">
        <w:rPr>
          <w:rFonts w:ascii="Arial" w:hAnsi="Arial" w:cs="Arial"/>
          <w:bCs/>
          <w:sz w:val="22"/>
          <w:szCs w:val="22"/>
        </w:rPr>
        <w:t>El objetivo principal de este componente es mejorar la calidad y accesibilidad de los servicios que provee la entidad al ciudadano mediante la adopción de un modelo de Gestión orientado al Servicio; y de esa forma contribuir a mejorar la confianza del Ciudadano con el Estado.</w:t>
      </w:r>
    </w:p>
    <w:p w14:paraId="0F45D682" w14:textId="77777777" w:rsidR="00974478" w:rsidRPr="007574B9" w:rsidRDefault="00974478" w:rsidP="00974478">
      <w:pPr>
        <w:spacing w:line="276" w:lineRule="auto"/>
        <w:jc w:val="both"/>
        <w:rPr>
          <w:rFonts w:ascii="Arial" w:hAnsi="Arial" w:cs="Arial"/>
          <w:bCs/>
          <w:sz w:val="22"/>
          <w:szCs w:val="22"/>
        </w:rPr>
      </w:pPr>
      <w:r w:rsidRPr="007574B9">
        <w:rPr>
          <w:rFonts w:ascii="Arial" w:hAnsi="Arial" w:cs="Arial"/>
          <w:bCs/>
          <w:sz w:val="22"/>
          <w:szCs w:val="22"/>
        </w:rPr>
        <w:t xml:space="preserve">Establece 5 frentes de trabajo: • Estructura administrativa y direccionamiento estratégico. • Fortalecimiento de los canales de atención.​​ • Talento humano. • Normativo y procedimental y • Relacionamiento con el ciudadano. </w:t>
      </w:r>
    </w:p>
    <w:p w14:paraId="0542E331" w14:textId="77777777" w:rsidR="00974478" w:rsidRPr="007574B9" w:rsidRDefault="00974478" w:rsidP="00974478">
      <w:pPr>
        <w:autoSpaceDE w:val="0"/>
        <w:autoSpaceDN w:val="0"/>
        <w:adjustRightInd w:val="0"/>
        <w:spacing w:line="276" w:lineRule="auto"/>
        <w:jc w:val="both"/>
        <w:rPr>
          <w:rFonts w:ascii="Arial" w:hAnsi="Arial" w:cs="Arial"/>
          <w:sz w:val="22"/>
          <w:szCs w:val="22"/>
          <w:lang w:eastAsia="es-CO"/>
        </w:rPr>
      </w:pPr>
      <w:r w:rsidRPr="007574B9">
        <w:rPr>
          <w:rFonts w:ascii="Arial" w:hAnsi="Arial" w:cs="Arial"/>
          <w:sz w:val="22"/>
          <w:szCs w:val="22"/>
          <w:lang w:eastAsia="es-CO"/>
        </w:rPr>
        <w:t>El modelo que se plantea pone al ciudadano como eje central de la entidad  y reúne los elementos principales a tener en cuenta para mejorar la efectividad y eficiencia de la misma, así como garantizar que el servicio que se presta responda a sus necesidades; para esto se requiere de la articulación al interior de la entidad; compromiso por parte de la gerencia, gestión de los recursos necesarios y personal comprometido que desarrolle diferentes iniciativas buscando garantizar el ejercicio de los derechos de los ciudadanos .</w:t>
      </w:r>
    </w:p>
    <w:p w14:paraId="7212777C" w14:textId="77777777" w:rsidR="00974478" w:rsidRPr="007574B9" w:rsidRDefault="00974478" w:rsidP="00974478">
      <w:pPr>
        <w:spacing w:line="276" w:lineRule="auto"/>
        <w:jc w:val="both"/>
        <w:outlineLvl w:val="0"/>
        <w:rPr>
          <w:rFonts w:ascii="Arial" w:hAnsi="Arial" w:cs="Arial"/>
          <w:b/>
          <w:bCs/>
          <w:sz w:val="22"/>
          <w:szCs w:val="22"/>
        </w:rPr>
      </w:pPr>
    </w:p>
    <w:p w14:paraId="497EC216" w14:textId="77777777" w:rsidR="00974478" w:rsidRPr="007574B9" w:rsidRDefault="00974478" w:rsidP="00974478">
      <w:pPr>
        <w:spacing w:line="276" w:lineRule="auto"/>
        <w:jc w:val="both"/>
        <w:outlineLvl w:val="0"/>
        <w:rPr>
          <w:rFonts w:ascii="Arial" w:hAnsi="Arial" w:cs="Arial"/>
          <w:b/>
          <w:bCs/>
          <w:sz w:val="22"/>
          <w:szCs w:val="22"/>
        </w:rPr>
      </w:pPr>
      <w:r w:rsidRPr="007574B9">
        <w:rPr>
          <w:rFonts w:ascii="Arial" w:hAnsi="Arial" w:cs="Arial"/>
          <w:b/>
          <w:bCs/>
          <w:sz w:val="22"/>
          <w:szCs w:val="22"/>
        </w:rPr>
        <w:t xml:space="preserve">Rendición de cuentas </w:t>
      </w:r>
    </w:p>
    <w:p w14:paraId="1EE8B184" w14:textId="77777777" w:rsidR="00974478" w:rsidRPr="007574B9" w:rsidRDefault="00974478" w:rsidP="00974478">
      <w:pPr>
        <w:spacing w:line="276" w:lineRule="auto"/>
        <w:jc w:val="both"/>
        <w:outlineLvl w:val="0"/>
        <w:rPr>
          <w:rFonts w:ascii="Arial" w:hAnsi="Arial" w:cs="Arial"/>
          <w:b/>
          <w:bCs/>
          <w:sz w:val="22"/>
          <w:szCs w:val="22"/>
        </w:rPr>
      </w:pPr>
    </w:p>
    <w:p w14:paraId="5FEEE187" w14:textId="77777777" w:rsidR="00974478" w:rsidRPr="007574B9" w:rsidRDefault="00974478" w:rsidP="00974478">
      <w:pPr>
        <w:autoSpaceDE w:val="0"/>
        <w:autoSpaceDN w:val="0"/>
        <w:adjustRightInd w:val="0"/>
        <w:spacing w:line="276" w:lineRule="auto"/>
        <w:jc w:val="both"/>
        <w:outlineLvl w:val="0"/>
        <w:rPr>
          <w:rFonts w:ascii="Arial" w:hAnsi="Arial" w:cs="Arial"/>
          <w:sz w:val="22"/>
          <w:szCs w:val="22"/>
          <w:lang w:eastAsia="es-CO"/>
        </w:rPr>
      </w:pPr>
      <w:r w:rsidRPr="007574B9">
        <w:rPr>
          <w:rFonts w:ascii="Arial" w:hAnsi="Arial" w:cs="Arial"/>
          <w:sz w:val="22"/>
          <w:szCs w:val="22"/>
          <w:lang w:eastAsia="es-CO"/>
        </w:rPr>
        <w:t xml:space="preserve">La audiencia pública de rendición de cuentas se define como un proceso planeado y organizado, que tiene como objetivo presentar aspectos relativos a la gestión de las entidades, el cumplimiento de las responsabilidades constitucionales y los planes y proyectos ejecutados en un período de tiempo determinado.  </w:t>
      </w:r>
    </w:p>
    <w:p w14:paraId="6A4EEA4E" w14:textId="77777777" w:rsidR="00974478" w:rsidRPr="007574B9" w:rsidRDefault="00974478" w:rsidP="00974478">
      <w:pPr>
        <w:autoSpaceDE w:val="0"/>
        <w:autoSpaceDN w:val="0"/>
        <w:adjustRightInd w:val="0"/>
        <w:spacing w:line="276" w:lineRule="auto"/>
        <w:jc w:val="both"/>
        <w:outlineLvl w:val="0"/>
        <w:rPr>
          <w:rFonts w:ascii="Arial" w:hAnsi="Arial" w:cs="Arial"/>
          <w:sz w:val="22"/>
          <w:szCs w:val="22"/>
          <w:lang w:eastAsia="es-CO"/>
        </w:rPr>
      </w:pPr>
    </w:p>
    <w:p w14:paraId="707FB29C" w14:textId="77777777" w:rsidR="00974478" w:rsidRPr="007574B9" w:rsidRDefault="00974478" w:rsidP="00974478">
      <w:pPr>
        <w:autoSpaceDE w:val="0"/>
        <w:autoSpaceDN w:val="0"/>
        <w:adjustRightInd w:val="0"/>
        <w:spacing w:line="276" w:lineRule="auto"/>
        <w:jc w:val="both"/>
        <w:outlineLvl w:val="0"/>
        <w:rPr>
          <w:rFonts w:ascii="Arial" w:hAnsi="Arial" w:cs="Arial"/>
          <w:b/>
          <w:sz w:val="22"/>
          <w:szCs w:val="22"/>
        </w:rPr>
      </w:pPr>
      <w:r w:rsidRPr="007574B9">
        <w:rPr>
          <w:rFonts w:ascii="Arial" w:hAnsi="Arial" w:cs="Arial"/>
          <w:sz w:val="22"/>
          <w:szCs w:val="22"/>
          <w:lang w:eastAsia="es-CO"/>
        </w:rPr>
        <w:t xml:space="preserve">Para que sea plenamente pública, es necesario que cuente con la participación de los ciudadanos, las comunidades, agremiaciones, veedurías ciudadanas y servidores públicos, entre otros, y como obligación de la entidad y servidores públicos de informar y explicar los avances y los resultados de su gestión, así como el avance en la garantía de derechos a </w:t>
      </w:r>
      <w:r w:rsidRPr="007574B9">
        <w:rPr>
          <w:rFonts w:ascii="Arial" w:hAnsi="Arial" w:cs="Arial"/>
          <w:sz w:val="22"/>
          <w:szCs w:val="22"/>
          <w:lang w:eastAsia="es-CO"/>
        </w:rPr>
        <w:lastRenderedPageBreak/>
        <w:t>los ciudadanos y sus organizaciones sociales, a través de espacios de diálogo público. (Ver Conpes3654 de 2010 y Ley 1757 de 2015).</w:t>
      </w:r>
    </w:p>
    <w:p w14:paraId="6DF409AC" w14:textId="77777777" w:rsidR="00974478" w:rsidRPr="007574B9" w:rsidRDefault="00974478" w:rsidP="00974478">
      <w:pPr>
        <w:spacing w:line="276" w:lineRule="auto"/>
        <w:jc w:val="both"/>
        <w:rPr>
          <w:rFonts w:ascii="Arial" w:eastAsia="Calibri" w:hAnsi="Arial" w:cs="Arial"/>
          <w:sz w:val="22"/>
          <w:szCs w:val="22"/>
        </w:rPr>
      </w:pPr>
      <w:r w:rsidRPr="007574B9">
        <w:rPr>
          <w:rFonts w:ascii="Arial" w:eastAsia="Calibri" w:hAnsi="Arial" w:cs="Arial"/>
          <w:sz w:val="22"/>
          <w:szCs w:val="22"/>
        </w:rPr>
        <w:t>En el propósito que plantea MIPG, en su dimensión Gestión con Valores para Resultados, “permitirle a la entidad realizar actividades que la conduzcan a lograr los resultados propuestos y a materializar las decisiones plasmadas en su planeación institucional, en el marco de los valores del servicio público” y dando cumplimiento específicamente a la política Participación Ciudadana en la Gestión Pública, cuyo objetivo es permitir que las entidades garanticen la incidencia efectiva de los ciudadanos y sus organizaciones en los procesos de planeación, ejecución y evaluación, principalmente a través de la rendición de cuentas de su gestión, la Promotora de Eventos y Turismo SAS cuenta con una resolución que se ajusta en términos y condiciones para la realización de la audiencia pública de rendición de cuentas de cada vigencia. En este documento se plantean unos elementos adicionales para complementar este componente tan determinante en la razón de ser de la entidad.</w:t>
      </w:r>
    </w:p>
    <w:p w14:paraId="46240731" w14:textId="77777777" w:rsidR="00974478" w:rsidRPr="007574B9" w:rsidRDefault="00974478" w:rsidP="00974478">
      <w:pPr>
        <w:spacing w:line="276" w:lineRule="auto"/>
        <w:jc w:val="both"/>
        <w:outlineLvl w:val="0"/>
        <w:rPr>
          <w:rFonts w:ascii="Arial" w:hAnsi="Arial" w:cs="Arial"/>
          <w:b/>
          <w:bCs/>
          <w:sz w:val="22"/>
          <w:szCs w:val="22"/>
        </w:rPr>
      </w:pPr>
    </w:p>
    <w:p w14:paraId="6F34B871" w14:textId="77777777" w:rsidR="00974478" w:rsidRPr="007574B9" w:rsidRDefault="00974478" w:rsidP="00974478">
      <w:pPr>
        <w:spacing w:line="276" w:lineRule="auto"/>
        <w:jc w:val="both"/>
        <w:outlineLvl w:val="0"/>
        <w:rPr>
          <w:rFonts w:ascii="Arial" w:hAnsi="Arial" w:cs="Arial"/>
          <w:b/>
          <w:bCs/>
          <w:sz w:val="22"/>
          <w:szCs w:val="22"/>
        </w:rPr>
      </w:pPr>
      <w:r w:rsidRPr="007574B9">
        <w:rPr>
          <w:rFonts w:ascii="Arial" w:hAnsi="Arial" w:cs="Arial"/>
          <w:b/>
          <w:bCs/>
          <w:sz w:val="22"/>
          <w:szCs w:val="22"/>
        </w:rPr>
        <w:t xml:space="preserve">Transparencia y acceso a la información pública </w:t>
      </w:r>
    </w:p>
    <w:p w14:paraId="5494B87E" w14:textId="77777777" w:rsidR="00974478" w:rsidRPr="007574B9" w:rsidRDefault="00974478" w:rsidP="00974478">
      <w:pPr>
        <w:spacing w:line="276" w:lineRule="auto"/>
        <w:jc w:val="both"/>
        <w:outlineLvl w:val="0"/>
        <w:rPr>
          <w:rFonts w:ascii="Arial" w:hAnsi="Arial" w:cs="Arial"/>
          <w:b/>
          <w:bCs/>
          <w:sz w:val="22"/>
          <w:szCs w:val="22"/>
        </w:rPr>
      </w:pPr>
    </w:p>
    <w:p w14:paraId="687693E9" w14:textId="77777777" w:rsidR="00974478" w:rsidRPr="007574B9" w:rsidRDefault="00974478" w:rsidP="00974478">
      <w:pPr>
        <w:spacing w:line="276" w:lineRule="auto"/>
        <w:jc w:val="both"/>
        <w:rPr>
          <w:rFonts w:ascii="Arial" w:hAnsi="Arial" w:cs="Arial"/>
          <w:bCs/>
          <w:sz w:val="22"/>
          <w:szCs w:val="22"/>
        </w:rPr>
      </w:pPr>
      <w:r w:rsidRPr="007574B9">
        <w:rPr>
          <w:rFonts w:ascii="Arial" w:hAnsi="Arial" w:cs="Arial"/>
          <w:bCs/>
          <w:sz w:val="22"/>
          <w:szCs w:val="22"/>
        </w:rPr>
        <w:t xml:space="preserve">La Ley 1712 de 2014 “Por medio de la cual se crea la Ley de Transparencia y Acceso a la Información Pública y se dictan otras disposiciones”, tiene como objeto regular el derecho de acceso a la información pública, los procedimientos para el ejercicio y garantía del derecho y las excepciones a la publicidad de información. Esta Ley establece que, se debe tener a disposición de las personas interesadas el ÍNDICE DE TRANSPARENCIA Y ACCESO A LA INFORMACIÓN PÚBLICA en la página web de la entidad, a fin de que éstas puedan obtener la información de manera directa o mediante impresiones. Así mismo, se debe proporcionar apoyo a los usuarios que lo requieran y proveer todo tipo de asistencia respecto de los servicios que presta la entidad.  </w:t>
      </w:r>
    </w:p>
    <w:p w14:paraId="28153F31" w14:textId="77777777" w:rsidR="00974478" w:rsidRPr="007574B9" w:rsidRDefault="00974478" w:rsidP="00974478">
      <w:pPr>
        <w:spacing w:line="276" w:lineRule="auto"/>
        <w:jc w:val="both"/>
        <w:rPr>
          <w:rFonts w:ascii="Arial" w:hAnsi="Arial" w:cs="Arial"/>
          <w:bCs/>
          <w:sz w:val="22"/>
          <w:szCs w:val="22"/>
        </w:rPr>
      </w:pPr>
    </w:p>
    <w:p w14:paraId="522603B5" w14:textId="77777777" w:rsidR="00974478" w:rsidRPr="007574B9" w:rsidRDefault="00974478" w:rsidP="00974478">
      <w:pPr>
        <w:spacing w:line="276" w:lineRule="auto"/>
        <w:jc w:val="both"/>
        <w:rPr>
          <w:rFonts w:ascii="Arial" w:hAnsi="Arial" w:cs="Arial"/>
          <w:bCs/>
          <w:sz w:val="22"/>
          <w:szCs w:val="22"/>
        </w:rPr>
      </w:pPr>
      <w:r w:rsidRPr="007574B9">
        <w:rPr>
          <w:rFonts w:ascii="Arial" w:hAnsi="Arial" w:cs="Arial"/>
          <w:bCs/>
          <w:sz w:val="22"/>
          <w:szCs w:val="22"/>
        </w:rPr>
        <w:t>El acceso a la información pública es el derecho fundamental de todos los ciudadanos de buscar, solicitar, recibir y divulgar aquella información pública, en manos de los órganos, entidades y funcionarios que componen el Estado.</w:t>
      </w:r>
    </w:p>
    <w:p w14:paraId="1769067B" w14:textId="77777777" w:rsidR="00974478" w:rsidRPr="007574B9" w:rsidRDefault="00974478" w:rsidP="00974478">
      <w:pPr>
        <w:spacing w:line="276" w:lineRule="auto"/>
        <w:jc w:val="both"/>
        <w:rPr>
          <w:rFonts w:ascii="Arial" w:hAnsi="Arial" w:cs="Arial"/>
          <w:bCs/>
          <w:sz w:val="22"/>
          <w:szCs w:val="22"/>
        </w:rPr>
      </w:pPr>
    </w:p>
    <w:p w14:paraId="332A5A5A" w14:textId="77777777" w:rsidR="00974478" w:rsidRPr="007574B9" w:rsidRDefault="00974478" w:rsidP="00974478">
      <w:pPr>
        <w:spacing w:line="276" w:lineRule="auto"/>
        <w:jc w:val="both"/>
        <w:rPr>
          <w:rFonts w:ascii="Arial" w:hAnsi="Arial" w:cs="Arial"/>
          <w:bCs/>
          <w:sz w:val="22"/>
          <w:szCs w:val="22"/>
        </w:rPr>
      </w:pPr>
      <w:r w:rsidRPr="007574B9">
        <w:rPr>
          <w:rFonts w:ascii="Arial" w:hAnsi="Arial" w:cs="Arial"/>
          <w:bCs/>
          <w:sz w:val="22"/>
          <w:szCs w:val="22"/>
        </w:rPr>
        <w:t xml:space="preserve">De igual manera, la resolución 1519 de 2020 define los estándares y directrices para publicar la información señalada en la Ley 1712 del 2014 y define los requisitos en materia de acceso a la información pública, accesibilidad web, seguridad digital, y datos abiertos. </w:t>
      </w:r>
    </w:p>
    <w:p w14:paraId="7AD8F4FA" w14:textId="77777777" w:rsidR="00974478" w:rsidRPr="007574B9" w:rsidRDefault="00974478" w:rsidP="00974478">
      <w:pPr>
        <w:spacing w:line="276" w:lineRule="auto"/>
        <w:jc w:val="both"/>
        <w:rPr>
          <w:rFonts w:ascii="Arial" w:hAnsi="Arial" w:cs="Arial"/>
          <w:bCs/>
          <w:sz w:val="22"/>
          <w:szCs w:val="22"/>
        </w:rPr>
      </w:pPr>
      <w:r w:rsidRPr="007574B9">
        <w:rPr>
          <w:rFonts w:ascii="Arial" w:hAnsi="Arial" w:cs="Arial"/>
          <w:bCs/>
          <w:sz w:val="22"/>
          <w:szCs w:val="22"/>
        </w:rPr>
        <w:t>La Promotora de Eventos y Turismo SAS crea la estrategia de Transparencia y Acceso a la Información Pública, con la finalidad de fortalecer y garantizar el acceso de los ciudadanos, beneficiarios, grupos de interés y demás interesados a la información pública creada por la entidad.</w:t>
      </w:r>
    </w:p>
    <w:p w14:paraId="703B0331" w14:textId="77777777" w:rsidR="00974478" w:rsidRPr="007574B9" w:rsidRDefault="00974478" w:rsidP="00974478">
      <w:pPr>
        <w:spacing w:line="276" w:lineRule="auto"/>
        <w:jc w:val="both"/>
        <w:rPr>
          <w:rFonts w:ascii="Arial" w:hAnsi="Arial" w:cs="Arial"/>
          <w:bCs/>
          <w:sz w:val="22"/>
          <w:szCs w:val="22"/>
        </w:rPr>
      </w:pPr>
      <w:r w:rsidRPr="007574B9">
        <w:rPr>
          <w:rFonts w:ascii="Arial" w:hAnsi="Arial" w:cs="Arial"/>
          <w:bCs/>
          <w:sz w:val="22"/>
          <w:szCs w:val="22"/>
        </w:rPr>
        <w:lastRenderedPageBreak/>
        <w:t xml:space="preserve">El presente componente contiene el Índice de Transparencia y Acceso a la Información Pública de la Promotora de Eventos y Turismo SAS, con el cual se pretende dar cumplimiento a los mencionados lineamientos. </w:t>
      </w:r>
    </w:p>
    <w:p w14:paraId="22F6700E" w14:textId="77777777" w:rsidR="00974478" w:rsidRPr="007574B9" w:rsidRDefault="00974478" w:rsidP="00974478">
      <w:pPr>
        <w:autoSpaceDE w:val="0"/>
        <w:autoSpaceDN w:val="0"/>
        <w:adjustRightInd w:val="0"/>
        <w:spacing w:line="276" w:lineRule="auto"/>
        <w:jc w:val="both"/>
        <w:rPr>
          <w:rFonts w:ascii="Arial" w:hAnsi="Arial" w:cs="Arial"/>
          <w:b/>
          <w:sz w:val="22"/>
          <w:szCs w:val="22"/>
          <w:lang w:eastAsia="es-ES"/>
        </w:rPr>
      </w:pPr>
      <w:r w:rsidRPr="007574B9">
        <w:rPr>
          <w:rFonts w:ascii="Arial" w:hAnsi="Arial" w:cs="Arial"/>
          <w:b/>
          <w:sz w:val="22"/>
          <w:szCs w:val="22"/>
          <w:lang w:eastAsia="es-ES"/>
        </w:rPr>
        <w:t xml:space="preserve">Anexo: Componente 5 – Estrategias de transparencia y acceso a la información pública, servicio al ciudadano y rendición de cuentas  </w:t>
      </w:r>
    </w:p>
    <w:p w14:paraId="6335894C" w14:textId="77777777" w:rsidR="00974478" w:rsidRPr="007574B9" w:rsidRDefault="00974478" w:rsidP="00974478">
      <w:pPr>
        <w:autoSpaceDE w:val="0"/>
        <w:autoSpaceDN w:val="0"/>
        <w:adjustRightInd w:val="0"/>
        <w:spacing w:line="276" w:lineRule="auto"/>
        <w:jc w:val="both"/>
        <w:rPr>
          <w:rFonts w:ascii="Arial" w:hAnsi="Arial" w:cs="Arial"/>
          <w:b/>
          <w:sz w:val="22"/>
          <w:szCs w:val="22"/>
          <w:lang w:eastAsia="es-ES"/>
        </w:rPr>
      </w:pPr>
    </w:p>
    <w:p w14:paraId="17E11C00" w14:textId="77777777" w:rsidR="00974478" w:rsidRPr="007574B9" w:rsidRDefault="00974478" w:rsidP="00974478">
      <w:pPr>
        <w:pStyle w:val="Prrafodelista"/>
        <w:numPr>
          <w:ilvl w:val="0"/>
          <w:numId w:val="2"/>
        </w:numPr>
        <w:spacing w:after="160" w:line="276" w:lineRule="auto"/>
        <w:jc w:val="both"/>
        <w:outlineLvl w:val="0"/>
        <w:rPr>
          <w:rFonts w:ascii="Arial" w:hAnsi="Arial" w:cs="Arial"/>
          <w:b/>
          <w:sz w:val="22"/>
          <w:szCs w:val="22"/>
        </w:rPr>
      </w:pPr>
      <w:r w:rsidRPr="007574B9">
        <w:rPr>
          <w:rFonts w:ascii="Arial" w:hAnsi="Arial" w:cs="Arial"/>
          <w:b/>
          <w:sz w:val="22"/>
          <w:szCs w:val="22"/>
        </w:rPr>
        <w:t xml:space="preserve">INICIATIVAS ADICIONALES </w:t>
      </w:r>
    </w:p>
    <w:p w14:paraId="31FBFB5A" w14:textId="77777777" w:rsidR="00974478" w:rsidRPr="007574B9" w:rsidRDefault="00974478" w:rsidP="00974478">
      <w:pPr>
        <w:spacing w:line="276" w:lineRule="auto"/>
        <w:jc w:val="both"/>
        <w:rPr>
          <w:rFonts w:ascii="Arial" w:hAnsi="Arial" w:cs="Arial"/>
          <w:bCs/>
          <w:sz w:val="22"/>
          <w:szCs w:val="22"/>
        </w:rPr>
      </w:pPr>
      <w:r w:rsidRPr="007574B9">
        <w:rPr>
          <w:rFonts w:ascii="Arial" w:hAnsi="Arial" w:cs="Arial"/>
          <w:bCs/>
          <w:sz w:val="22"/>
          <w:szCs w:val="22"/>
        </w:rPr>
        <w:t xml:space="preserve">En el presente componente, la Promotora de Eventos y Turismo SAS pretende establecer y/o contemplar las iniciativas que permitan fortalecer su estrategia de lucha contra la corrupción. En este sentido, se incorporan actividades encaminadas a fomentar la integridad, brindar transparencia en la contratación pública y eficiencia en el uso de los recursos financieros, con el fin de viabilizar el accionar de la administración pública. Principalmente, las iniciativas adicionales planteadas en el presente componente se encuentran enfocadas en dos temáticas: Conflictos de interés y contratación. </w:t>
      </w:r>
    </w:p>
    <w:p w14:paraId="2AE66CE2" w14:textId="77777777" w:rsidR="00974478" w:rsidRPr="007574B9" w:rsidRDefault="00974478" w:rsidP="00974478">
      <w:pPr>
        <w:spacing w:line="276" w:lineRule="auto"/>
        <w:jc w:val="both"/>
        <w:rPr>
          <w:rFonts w:ascii="Arial" w:hAnsi="Arial" w:cs="Arial"/>
          <w:bCs/>
          <w:sz w:val="22"/>
          <w:szCs w:val="22"/>
        </w:rPr>
      </w:pPr>
    </w:p>
    <w:p w14:paraId="64EBF4FD" w14:textId="77777777" w:rsidR="00974478" w:rsidRPr="007574B9" w:rsidRDefault="00974478" w:rsidP="00974478">
      <w:pPr>
        <w:spacing w:line="276" w:lineRule="auto"/>
        <w:jc w:val="both"/>
        <w:rPr>
          <w:rFonts w:ascii="Arial" w:hAnsi="Arial" w:cs="Arial"/>
          <w:b/>
          <w:sz w:val="22"/>
          <w:szCs w:val="22"/>
        </w:rPr>
      </w:pPr>
      <w:r w:rsidRPr="007574B9">
        <w:rPr>
          <w:rFonts w:ascii="Arial" w:hAnsi="Arial" w:cs="Arial"/>
          <w:b/>
          <w:sz w:val="22"/>
          <w:szCs w:val="22"/>
        </w:rPr>
        <w:t xml:space="preserve">Conflictos de Interés: </w:t>
      </w:r>
    </w:p>
    <w:p w14:paraId="4B227469" w14:textId="77777777" w:rsidR="00974478" w:rsidRPr="007574B9" w:rsidRDefault="00974478" w:rsidP="00974478">
      <w:pPr>
        <w:spacing w:line="276" w:lineRule="auto"/>
        <w:jc w:val="both"/>
        <w:rPr>
          <w:rFonts w:ascii="Arial" w:hAnsi="Arial" w:cs="Arial"/>
          <w:b/>
          <w:sz w:val="22"/>
          <w:szCs w:val="22"/>
        </w:rPr>
      </w:pPr>
    </w:p>
    <w:p w14:paraId="03D8CC92" w14:textId="77777777" w:rsidR="00974478" w:rsidRPr="007574B9" w:rsidRDefault="00974478" w:rsidP="00974478">
      <w:pPr>
        <w:spacing w:after="160" w:line="276" w:lineRule="auto"/>
        <w:contextualSpacing/>
        <w:jc w:val="both"/>
        <w:outlineLvl w:val="0"/>
        <w:rPr>
          <w:rFonts w:ascii="Arial" w:hAnsi="Arial" w:cs="Arial"/>
          <w:sz w:val="22"/>
          <w:szCs w:val="22"/>
        </w:rPr>
      </w:pPr>
      <w:r w:rsidRPr="007574B9">
        <w:rPr>
          <w:rFonts w:ascii="Arial" w:hAnsi="Arial" w:cs="Arial"/>
          <w:sz w:val="22"/>
          <w:szCs w:val="22"/>
        </w:rPr>
        <w:t xml:space="preserve">Los conflictos de interés ponen en riesgo la obligación de garantizar el interés general del servicio público y afectan la confianza ciudadana en la administración pública. </w:t>
      </w:r>
    </w:p>
    <w:p w14:paraId="2F2CAA26" w14:textId="77777777" w:rsidR="00974478" w:rsidRPr="007574B9" w:rsidRDefault="00974478" w:rsidP="00974478">
      <w:pPr>
        <w:spacing w:line="276" w:lineRule="auto"/>
        <w:jc w:val="both"/>
        <w:outlineLvl w:val="0"/>
        <w:rPr>
          <w:rFonts w:ascii="Arial" w:hAnsi="Arial" w:cs="Arial"/>
          <w:sz w:val="22"/>
          <w:szCs w:val="22"/>
        </w:rPr>
      </w:pPr>
      <w:r w:rsidRPr="007574B9">
        <w:rPr>
          <w:rFonts w:ascii="Arial" w:hAnsi="Arial" w:cs="Arial"/>
          <w:sz w:val="22"/>
          <w:szCs w:val="22"/>
        </w:rPr>
        <w:t>Por ello, la Promotora de Eventos y Turismo SAS está comprometido en identificar las situaciones en las que puedan generarse intereses personales en su gestión y que puedan influir en el cumplimiento de su misión, en beneficio particular, afectando el interés público.</w:t>
      </w:r>
    </w:p>
    <w:p w14:paraId="5F88349E"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La Ley 2013 de 2019 promueve la participación y control social a través de la divulgación proactiva de la declaración del impuesto sobre la renta y complementarios y el registro de conflictos de interés. Por lo anterior, la Promotora de Eventos y Turismo SAS implementa acciones para la promoción de la transparencia en el actuar de sus servidores, fortaleciendo las estrategias que permitan la identificación de posibles conflictos de interés en sus servidores públicos, como consecuencia del interés privado que podría influir indebidamente en la forma imparcial para el ejercicio de sus funciones y sus responsabilidades; promoviendo la declaración de los conflictos de interés que se generen para no afectar la confianza que tiene la ciudadanía en la administración pública.</w:t>
      </w:r>
    </w:p>
    <w:p w14:paraId="07576FD0" w14:textId="77777777" w:rsidR="00974478" w:rsidRPr="007574B9" w:rsidRDefault="00974478" w:rsidP="00974478">
      <w:pPr>
        <w:pStyle w:val="Prrafodelista"/>
        <w:spacing w:line="276" w:lineRule="auto"/>
        <w:jc w:val="both"/>
        <w:outlineLvl w:val="0"/>
        <w:rPr>
          <w:rFonts w:ascii="Arial" w:eastAsia="ArialMT" w:hAnsi="Arial" w:cs="Arial"/>
          <w:sz w:val="22"/>
          <w:szCs w:val="22"/>
        </w:rPr>
      </w:pPr>
    </w:p>
    <w:p w14:paraId="40692CF2" w14:textId="77777777" w:rsidR="00974478" w:rsidRPr="007574B9" w:rsidRDefault="00974478" w:rsidP="00974478">
      <w:pPr>
        <w:spacing w:after="160" w:line="276" w:lineRule="auto"/>
        <w:contextualSpacing/>
        <w:jc w:val="both"/>
        <w:outlineLvl w:val="0"/>
        <w:rPr>
          <w:rFonts w:ascii="Arial" w:hAnsi="Arial" w:cs="Arial"/>
          <w:sz w:val="22"/>
          <w:szCs w:val="22"/>
        </w:rPr>
      </w:pPr>
      <w:r w:rsidRPr="007574B9">
        <w:rPr>
          <w:rFonts w:ascii="Arial" w:hAnsi="Arial" w:cs="Arial"/>
          <w:b/>
          <w:bCs/>
          <w:sz w:val="22"/>
          <w:szCs w:val="22"/>
        </w:rPr>
        <w:t>Manual de Contratación:</w:t>
      </w:r>
      <w:r w:rsidRPr="007574B9">
        <w:rPr>
          <w:rFonts w:ascii="Arial" w:hAnsi="Arial" w:cs="Arial"/>
          <w:sz w:val="22"/>
          <w:szCs w:val="22"/>
        </w:rPr>
        <w:t xml:space="preserve"> </w:t>
      </w:r>
    </w:p>
    <w:p w14:paraId="1DEE041A" w14:textId="77777777" w:rsidR="00974478" w:rsidRPr="007574B9" w:rsidRDefault="00974478" w:rsidP="00974478">
      <w:pPr>
        <w:spacing w:after="160" w:line="276" w:lineRule="auto"/>
        <w:contextualSpacing/>
        <w:jc w:val="both"/>
        <w:outlineLvl w:val="0"/>
        <w:rPr>
          <w:rFonts w:ascii="Arial" w:hAnsi="Arial" w:cs="Arial"/>
          <w:sz w:val="22"/>
          <w:szCs w:val="22"/>
        </w:rPr>
      </w:pPr>
      <w:r w:rsidRPr="007574B9">
        <w:rPr>
          <w:rFonts w:ascii="Arial" w:hAnsi="Arial" w:cs="Arial"/>
          <w:sz w:val="22"/>
          <w:szCs w:val="22"/>
        </w:rPr>
        <w:t xml:space="preserve">De conformidad con lo estipulado por el artículo 2.2.1.2.5.3 del Decreto 1082 de 2015 “Por medio del cual se expide el Decreto Único Reglamentario del sector Administrativo de Planeación Nacional”, las entidades estatales deben contar con un manual de contratación, el cual debe cumplir con los lineamientos que para el efecto señale Colombia Compra Eficiente. En cumplimiento de esta disposición y de los lineamientos emitidos por CCE, la </w:t>
      </w:r>
      <w:r w:rsidRPr="007574B9">
        <w:rPr>
          <w:rFonts w:ascii="Arial" w:hAnsi="Arial" w:cs="Arial"/>
          <w:sz w:val="22"/>
          <w:szCs w:val="22"/>
        </w:rPr>
        <w:lastRenderedPageBreak/>
        <w:t>Promotora de Eventos y Turismo SAS formuló el manual de contratación cuyo propósito principal es establecer y dar a conocer a los partícipes del Sistema de Compra Pública de la entidad, los flujos de proceso y responsabilidades asignadas dentro de la Gestión Contractual, cumpliendo así con los fines y objetivos para los cuales fue creada la entidad y dando aplicación efectiva a los principios y normatividad que regulan la actividad contractual, permitiendo la unificación de criterios.</w:t>
      </w:r>
    </w:p>
    <w:p w14:paraId="4F201829" w14:textId="77777777" w:rsidR="00974478" w:rsidRPr="007574B9" w:rsidRDefault="00974478" w:rsidP="00974478">
      <w:pPr>
        <w:pStyle w:val="Prrafodelista"/>
        <w:spacing w:line="276" w:lineRule="auto"/>
        <w:jc w:val="both"/>
        <w:outlineLvl w:val="0"/>
        <w:rPr>
          <w:rFonts w:ascii="Arial" w:hAnsi="Arial" w:cs="Arial"/>
          <w:sz w:val="22"/>
          <w:szCs w:val="22"/>
        </w:rPr>
      </w:pPr>
    </w:p>
    <w:p w14:paraId="1D4BB803" w14:textId="77777777" w:rsidR="00974478" w:rsidRPr="007574B9" w:rsidRDefault="00974478" w:rsidP="00974478">
      <w:pPr>
        <w:spacing w:line="276" w:lineRule="auto"/>
        <w:jc w:val="both"/>
        <w:outlineLvl w:val="0"/>
        <w:rPr>
          <w:rFonts w:ascii="Arial" w:hAnsi="Arial" w:cs="Arial"/>
          <w:sz w:val="22"/>
          <w:szCs w:val="22"/>
        </w:rPr>
      </w:pPr>
      <w:r w:rsidRPr="007574B9">
        <w:rPr>
          <w:rFonts w:ascii="Arial" w:hAnsi="Arial" w:cs="Arial"/>
          <w:sz w:val="22"/>
          <w:szCs w:val="22"/>
        </w:rPr>
        <w:t xml:space="preserve">A través del componente de iniciativas adicionales se establecen actividades que permitan la aplicación, socialización y sensibilización del Manual de Contratación construido para la Promotora. </w:t>
      </w:r>
    </w:p>
    <w:p w14:paraId="7CDEF9C4" w14:textId="77777777" w:rsidR="00974478" w:rsidRPr="007574B9" w:rsidRDefault="00974478" w:rsidP="00974478">
      <w:pPr>
        <w:autoSpaceDE w:val="0"/>
        <w:autoSpaceDN w:val="0"/>
        <w:adjustRightInd w:val="0"/>
        <w:spacing w:line="276" w:lineRule="auto"/>
        <w:jc w:val="both"/>
        <w:rPr>
          <w:rFonts w:ascii="Arial" w:hAnsi="Arial" w:cs="Arial"/>
          <w:b/>
          <w:sz w:val="22"/>
          <w:szCs w:val="22"/>
          <w:lang w:eastAsia="es-ES"/>
        </w:rPr>
      </w:pPr>
      <w:r w:rsidRPr="007574B9">
        <w:rPr>
          <w:rFonts w:ascii="Arial" w:hAnsi="Arial" w:cs="Arial"/>
          <w:b/>
          <w:sz w:val="22"/>
          <w:szCs w:val="22"/>
          <w:lang w:eastAsia="es-ES"/>
        </w:rPr>
        <w:t xml:space="preserve">Anexo: Componente 6 – Iniciativas adicionales   </w:t>
      </w:r>
    </w:p>
    <w:p w14:paraId="1120DAA1" w14:textId="77777777" w:rsidR="00974478" w:rsidRPr="007574B9" w:rsidRDefault="00974478" w:rsidP="00974478">
      <w:pPr>
        <w:spacing w:line="276" w:lineRule="auto"/>
        <w:jc w:val="both"/>
        <w:outlineLvl w:val="0"/>
        <w:rPr>
          <w:rFonts w:ascii="Arial" w:hAnsi="Arial" w:cs="Arial"/>
          <w:b/>
          <w:sz w:val="22"/>
          <w:szCs w:val="22"/>
        </w:rPr>
      </w:pPr>
    </w:p>
    <w:p w14:paraId="347000DF"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ESTRATEGIA DE SOCIALIZACIÓN </w:t>
      </w:r>
    </w:p>
    <w:p w14:paraId="47DE2F32" w14:textId="77777777" w:rsidR="00974478" w:rsidRPr="007574B9" w:rsidRDefault="00974478" w:rsidP="00974478">
      <w:pPr>
        <w:spacing w:line="276" w:lineRule="auto"/>
        <w:jc w:val="both"/>
        <w:outlineLvl w:val="0"/>
        <w:rPr>
          <w:rFonts w:ascii="Arial" w:hAnsi="Arial" w:cs="Arial"/>
          <w:b/>
          <w:sz w:val="22"/>
          <w:szCs w:val="22"/>
        </w:rPr>
      </w:pPr>
    </w:p>
    <w:p w14:paraId="31C5763E"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La Promotora de Eventos y Turismo SAS tiene claro que la promoción de la transparencia y la lucha contra la corrupción requiere de transformaciones en las formas de pensar, sentir y actuar, por lo cual ha hecho una apuesta por ir más allá del cumplimiento normativo en la materia, lo que requiere de la implementación de estrategias de socialización y apropiación que involucren a todos los colaboradores de la entidad.</w:t>
      </w:r>
    </w:p>
    <w:p w14:paraId="7F5603A2"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 xml:space="preserve">Así pues, el presente PROGRAMA DE TRANSPARENCIA Y ÉTICA PÚBLICA, será publicado en el sitio web de la entidad y socializado con todos los funcionarios y colaboradores de la entidad, buscando la generación de la cultura de transparencia, participación y buen gobierno. </w:t>
      </w:r>
    </w:p>
    <w:p w14:paraId="21D65943" w14:textId="77777777" w:rsidR="00974478" w:rsidRPr="007574B9" w:rsidRDefault="00974478" w:rsidP="00974478">
      <w:pPr>
        <w:spacing w:line="276" w:lineRule="auto"/>
        <w:jc w:val="both"/>
        <w:outlineLvl w:val="0"/>
        <w:rPr>
          <w:rFonts w:ascii="Arial" w:eastAsia="ArialMT" w:hAnsi="Arial" w:cs="Arial"/>
          <w:sz w:val="22"/>
          <w:szCs w:val="22"/>
        </w:rPr>
      </w:pPr>
    </w:p>
    <w:p w14:paraId="41945ECA" w14:textId="77777777" w:rsidR="00974478" w:rsidRPr="007574B9" w:rsidRDefault="00974478" w:rsidP="00974478">
      <w:pPr>
        <w:spacing w:line="276" w:lineRule="auto"/>
        <w:jc w:val="both"/>
        <w:outlineLvl w:val="0"/>
        <w:rPr>
          <w:rFonts w:ascii="Arial" w:hAnsi="Arial" w:cs="Arial"/>
          <w:b/>
          <w:sz w:val="22"/>
          <w:szCs w:val="22"/>
        </w:rPr>
      </w:pPr>
    </w:p>
    <w:p w14:paraId="740532B6"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ESTRATEGIA DE SEGUIMIENTO </w:t>
      </w:r>
    </w:p>
    <w:p w14:paraId="06776D54" w14:textId="77777777" w:rsidR="00974478" w:rsidRPr="007574B9" w:rsidRDefault="00974478" w:rsidP="00974478">
      <w:pPr>
        <w:spacing w:line="276" w:lineRule="auto"/>
        <w:jc w:val="both"/>
        <w:outlineLvl w:val="0"/>
        <w:rPr>
          <w:rFonts w:ascii="Arial" w:hAnsi="Arial" w:cs="Arial"/>
          <w:b/>
          <w:sz w:val="22"/>
          <w:szCs w:val="22"/>
        </w:rPr>
      </w:pPr>
    </w:p>
    <w:p w14:paraId="2EA9D0B6"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 xml:space="preserve">La Promotora de Eventos y Turismo SAS es consciente de que la implementación del Programa de Transparencia y Ética Pública se constituye en un elemento fundamental para su gestión, con el fin de determinar si los objetivos y estrategias establecidos están siendo logrados, lo que a futuro permitirá ajustar o reorientar el plan de ser necesario. </w:t>
      </w:r>
    </w:p>
    <w:p w14:paraId="43B89B80" w14:textId="60C09115"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 xml:space="preserve">Dado lo anterior, se realizará seguimiento permanente por parte de la alta dirección a través de los planes de acción, con el fin de determinar los avances. Igualmente, en el marco del Comité Institucional de Gestión y Desempeño, se promoverá la implementación y fortalecimiento de la Política “Transparencia y Acceso a la Información Pública y Lucha contra la Corrupción” definida en el Modelo Integrado de Planeación y Gestión y del Programa de Transparencia y Ética Pública. </w:t>
      </w:r>
    </w:p>
    <w:p w14:paraId="1C325EFC" w14:textId="77777777" w:rsidR="00974478" w:rsidRPr="007574B9" w:rsidRDefault="00974478" w:rsidP="00974478">
      <w:pPr>
        <w:spacing w:line="276" w:lineRule="auto"/>
        <w:jc w:val="both"/>
        <w:outlineLvl w:val="0"/>
        <w:rPr>
          <w:rFonts w:ascii="Arial" w:hAnsi="Arial" w:cs="Arial"/>
          <w:b/>
          <w:sz w:val="22"/>
          <w:szCs w:val="22"/>
        </w:rPr>
      </w:pPr>
    </w:p>
    <w:p w14:paraId="70CD8C07" w14:textId="104F741F"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lastRenderedPageBreak/>
        <w:t xml:space="preserve">PERIODICIDAD DE SEGUIMIENTO Y PUBLICACIÓN </w:t>
      </w:r>
    </w:p>
    <w:p w14:paraId="1881DCFC" w14:textId="77777777"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La Oficina de Control Interno realizará seguimiento de forma cuatrimestral, es decir tres (3) veces al año, generando un informe de seguimiento en las siguientes fechas:</w:t>
      </w:r>
    </w:p>
    <w:p w14:paraId="49076D83" w14:textId="77777777" w:rsidR="00974478" w:rsidRPr="007574B9" w:rsidRDefault="00974478" w:rsidP="00974478">
      <w:pPr>
        <w:spacing w:line="276" w:lineRule="auto"/>
        <w:jc w:val="both"/>
        <w:outlineLvl w:val="0"/>
        <w:rPr>
          <w:rFonts w:ascii="Arial" w:eastAsia="ArialMT" w:hAnsi="Arial" w:cs="Arial"/>
          <w:sz w:val="22"/>
          <w:szCs w:val="22"/>
        </w:rPr>
      </w:pPr>
    </w:p>
    <w:p w14:paraId="3D011CBF" w14:textId="77777777" w:rsidR="00974478" w:rsidRPr="007574B9" w:rsidRDefault="00974478" w:rsidP="00974478">
      <w:pPr>
        <w:pStyle w:val="Prrafodelista"/>
        <w:numPr>
          <w:ilvl w:val="0"/>
          <w:numId w:val="5"/>
        </w:numPr>
        <w:spacing w:after="160" w:line="276" w:lineRule="auto"/>
        <w:jc w:val="both"/>
        <w:outlineLvl w:val="0"/>
        <w:rPr>
          <w:rFonts w:ascii="Arial" w:eastAsia="ArialMT" w:hAnsi="Arial" w:cs="Arial"/>
          <w:sz w:val="22"/>
          <w:szCs w:val="22"/>
        </w:rPr>
      </w:pPr>
      <w:r w:rsidRPr="007574B9">
        <w:rPr>
          <w:rFonts w:ascii="Arial" w:eastAsia="ArialMT" w:hAnsi="Arial" w:cs="Arial"/>
          <w:sz w:val="22"/>
          <w:szCs w:val="22"/>
        </w:rPr>
        <w:t>Primer informe de seguimiento: con corte 30 de abril. Publicación que deberá efectuarse dentro de los diez (10) días hábiles del mes de mayo de 2024.</w:t>
      </w:r>
    </w:p>
    <w:p w14:paraId="6EB8A346" w14:textId="77777777" w:rsidR="00974478" w:rsidRPr="007574B9" w:rsidRDefault="00974478" w:rsidP="00974478">
      <w:pPr>
        <w:pStyle w:val="Prrafodelista"/>
        <w:numPr>
          <w:ilvl w:val="0"/>
          <w:numId w:val="5"/>
        </w:numPr>
        <w:spacing w:after="160" w:line="276" w:lineRule="auto"/>
        <w:jc w:val="both"/>
        <w:outlineLvl w:val="0"/>
        <w:rPr>
          <w:rFonts w:ascii="Arial" w:eastAsia="ArialMT" w:hAnsi="Arial" w:cs="Arial"/>
          <w:sz w:val="22"/>
          <w:szCs w:val="22"/>
        </w:rPr>
      </w:pPr>
      <w:r w:rsidRPr="007574B9">
        <w:rPr>
          <w:rFonts w:ascii="Arial" w:eastAsia="ArialMT" w:hAnsi="Arial" w:cs="Arial"/>
          <w:sz w:val="22"/>
          <w:szCs w:val="22"/>
        </w:rPr>
        <w:t>Segundo informe de seguimiento: con corte 31 de agosto. Publicación que deberá efectuarse dentro de los diez (10) días hábiles del mes de septiembre de 2024.</w:t>
      </w:r>
    </w:p>
    <w:p w14:paraId="3C5CB71B" w14:textId="77777777" w:rsidR="00974478" w:rsidRPr="007574B9" w:rsidRDefault="00974478" w:rsidP="00974478">
      <w:pPr>
        <w:pStyle w:val="Prrafodelista"/>
        <w:numPr>
          <w:ilvl w:val="0"/>
          <w:numId w:val="5"/>
        </w:numPr>
        <w:spacing w:after="160" w:line="276" w:lineRule="auto"/>
        <w:jc w:val="both"/>
        <w:outlineLvl w:val="0"/>
        <w:rPr>
          <w:rFonts w:ascii="Arial" w:eastAsia="ArialMT" w:hAnsi="Arial" w:cs="Arial"/>
          <w:sz w:val="22"/>
          <w:szCs w:val="22"/>
        </w:rPr>
      </w:pPr>
      <w:r w:rsidRPr="007574B9">
        <w:rPr>
          <w:rFonts w:ascii="Arial" w:eastAsia="ArialMT" w:hAnsi="Arial" w:cs="Arial"/>
          <w:sz w:val="22"/>
          <w:szCs w:val="22"/>
        </w:rPr>
        <w:t>Tercer informe de seguimiento: con corte 31 de diciembre. Publicación deberá efectuarse dentro de los diez (10) días hábiles del mes de enero de2025.</w:t>
      </w:r>
    </w:p>
    <w:p w14:paraId="4BE95841" w14:textId="77777777" w:rsidR="00974478" w:rsidRPr="007574B9" w:rsidRDefault="00974478" w:rsidP="00974478">
      <w:pPr>
        <w:spacing w:line="276" w:lineRule="auto"/>
        <w:jc w:val="both"/>
        <w:outlineLvl w:val="0"/>
        <w:rPr>
          <w:rFonts w:ascii="Arial" w:hAnsi="Arial" w:cs="Arial"/>
          <w:b/>
          <w:sz w:val="22"/>
          <w:szCs w:val="22"/>
        </w:rPr>
      </w:pPr>
    </w:p>
    <w:p w14:paraId="51EBA076"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INDICADORES</w:t>
      </w:r>
    </w:p>
    <w:p w14:paraId="5777A974" w14:textId="568AB562" w:rsidR="00974478" w:rsidRPr="007574B9" w:rsidRDefault="00974478" w:rsidP="00974478">
      <w:pPr>
        <w:spacing w:line="276" w:lineRule="auto"/>
        <w:jc w:val="both"/>
        <w:outlineLvl w:val="0"/>
        <w:rPr>
          <w:rFonts w:ascii="Arial" w:eastAsia="ArialMT" w:hAnsi="Arial" w:cs="Arial"/>
          <w:sz w:val="22"/>
          <w:szCs w:val="22"/>
        </w:rPr>
      </w:pPr>
      <w:r w:rsidRPr="007574B9">
        <w:rPr>
          <w:rFonts w:ascii="Arial" w:eastAsia="ArialMT" w:hAnsi="Arial" w:cs="Arial"/>
          <w:sz w:val="22"/>
          <w:szCs w:val="22"/>
        </w:rPr>
        <w:t xml:space="preserve">La Promotora de Eventos y Turismo SAS reconoce la importancia de medir los resultados en la gestión del Programa de Transparencia y Ética Pública, razón por la cual dentro de los seguimientos realizados por parte de la Oficina de Control Interno y de acuerdo a la información suministrada por planeación, se determinará de manera cuatrimestral el avance porcentual en el cumplimiento del presente programa. Lo anterior, se calculará con las actividades ejecutadas del plan en relación con las programadas, obteniendo así el porcentaje de avance y propendiendo por un cumplimiento acumulado al final de cada vigencia del 100% de las actividades programadas. </w:t>
      </w:r>
    </w:p>
    <w:p w14:paraId="24ACB822" w14:textId="77777777" w:rsidR="00974478" w:rsidRPr="007574B9" w:rsidRDefault="00974478" w:rsidP="00974478">
      <w:pPr>
        <w:spacing w:line="276" w:lineRule="auto"/>
        <w:jc w:val="both"/>
        <w:outlineLvl w:val="0"/>
        <w:rPr>
          <w:rFonts w:ascii="Arial" w:hAnsi="Arial" w:cs="Arial"/>
          <w:b/>
          <w:sz w:val="22"/>
          <w:szCs w:val="22"/>
        </w:rPr>
      </w:pPr>
    </w:p>
    <w:p w14:paraId="1120C6E6" w14:textId="77777777" w:rsidR="00974478" w:rsidRPr="007574B9" w:rsidRDefault="00974478" w:rsidP="00974478">
      <w:pPr>
        <w:spacing w:line="276" w:lineRule="auto"/>
        <w:jc w:val="both"/>
        <w:outlineLvl w:val="0"/>
        <w:rPr>
          <w:rFonts w:ascii="Arial" w:hAnsi="Arial" w:cs="Arial"/>
          <w:b/>
          <w:sz w:val="22"/>
          <w:szCs w:val="22"/>
        </w:rPr>
      </w:pPr>
      <w:r w:rsidRPr="007574B9">
        <w:rPr>
          <w:rFonts w:ascii="Arial" w:hAnsi="Arial" w:cs="Arial"/>
          <w:b/>
          <w:sz w:val="22"/>
          <w:szCs w:val="22"/>
        </w:rPr>
        <w:t xml:space="preserve">ANEXOS </w:t>
      </w:r>
    </w:p>
    <w:p w14:paraId="317B112A" w14:textId="77777777" w:rsidR="00974478" w:rsidRPr="007574B9" w:rsidRDefault="00974478" w:rsidP="00974478">
      <w:pPr>
        <w:rPr>
          <w:rFonts w:ascii="Arial" w:hAnsi="Arial" w:cs="Arial"/>
          <w:sz w:val="22"/>
          <w:szCs w:val="22"/>
        </w:rPr>
      </w:pPr>
      <w:r w:rsidRPr="007574B9">
        <w:rPr>
          <w:rFonts w:ascii="Arial" w:hAnsi="Arial" w:cs="Arial"/>
          <w:sz w:val="22"/>
          <w:szCs w:val="22"/>
        </w:rPr>
        <w:t xml:space="preserve">Anexo 1: Medidas de debida diligencia </w:t>
      </w:r>
    </w:p>
    <w:p w14:paraId="594E4728" w14:textId="77777777" w:rsidR="00974478" w:rsidRPr="007574B9" w:rsidRDefault="00974478" w:rsidP="00974478">
      <w:pPr>
        <w:rPr>
          <w:rFonts w:ascii="Arial" w:hAnsi="Arial" w:cs="Arial"/>
          <w:sz w:val="22"/>
          <w:szCs w:val="22"/>
        </w:rPr>
      </w:pPr>
      <w:r w:rsidRPr="007574B9">
        <w:rPr>
          <w:rFonts w:ascii="Arial" w:hAnsi="Arial" w:cs="Arial"/>
          <w:sz w:val="22"/>
          <w:szCs w:val="22"/>
        </w:rPr>
        <w:t xml:space="preserve">Anexo 2: Prevención, gestión y administración de riesgos de corrupción </w:t>
      </w:r>
    </w:p>
    <w:p w14:paraId="2B0CADA3" w14:textId="77777777" w:rsidR="00974478" w:rsidRPr="007574B9" w:rsidRDefault="00974478" w:rsidP="00974478">
      <w:pPr>
        <w:rPr>
          <w:rFonts w:ascii="Arial" w:hAnsi="Arial" w:cs="Arial"/>
          <w:sz w:val="22"/>
          <w:szCs w:val="22"/>
        </w:rPr>
      </w:pPr>
      <w:r w:rsidRPr="007574B9">
        <w:rPr>
          <w:rFonts w:ascii="Arial" w:hAnsi="Arial" w:cs="Arial"/>
          <w:sz w:val="22"/>
          <w:szCs w:val="22"/>
        </w:rPr>
        <w:t xml:space="preserve">Anexo 3: Redes interinstitucionales para el fortalecimiento de prevención de actos de corrupción, transparencia y legalidad </w:t>
      </w:r>
    </w:p>
    <w:p w14:paraId="206E1378" w14:textId="77777777" w:rsidR="00974478" w:rsidRPr="007574B9" w:rsidRDefault="00974478" w:rsidP="00974478">
      <w:pPr>
        <w:rPr>
          <w:rFonts w:ascii="Arial" w:hAnsi="Arial" w:cs="Arial"/>
          <w:sz w:val="22"/>
          <w:szCs w:val="22"/>
        </w:rPr>
      </w:pPr>
      <w:r w:rsidRPr="007574B9">
        <w:rPr>
          <w:rFonts w:ascii="Arial" w:hAnsi="Arial" w:cs="Arial"/>
          <w:sz w:val="22"/>
          <w:szCs w:val="22"/>
        </w:rPr>
        <w:t>Anexo 4: Canales de denuncia</w:t>
      </w:r>
    </w:p>
    <w:p w14:paraId="39EDA07C" w14:textId="77777777" w:rsidR="00974478" w:rsidRPr="007574B9" w:rsidRDefault="00974478" w:rsidP="00974478">
      <w:pPr>
        <w:rPr>
          <w:rFonts w:ascii="Arial" w:hAnsi="Arial" w:cs="Arial"/>
          <w:sz w:val="22"/>
          <w:szCs w:val="22"/>
        </w:rPr>
      </w:pPr>
      <w:r w:rsidRPr="007574B9">
        <w:rPr>
          <w:rFonts w:ascii="Arial" w:hAnsi="Arial" w:cs="Arial"/>
          <w:sz w:val="22"/>
          <w:szCs w:val="22"/>
        </w:rPr>
        <w:t xml:space="preserve">Anexo 5: Transparencia y acceso a la información pública, servicio al ciudadano y rendición de cuentas </w:t>
      </w:r>
    </w:p>
    <w:p w14:paraId="6C32903B" w14:textId="77777777" w:rsidR="00974478" w:rsidRPr="007574B9" w:rsidRDefault="00974478" w:rsidP="00974478">
      <w:pPr>
        <w:rPr>
          <w:rFonts w:ascii="Arial" w:hAnsi="Arial" w:cs="Arial"/>
          <w:sz w:val="22"/>
          <w:szCs w:val="22"/>
        </w:rPr>
      </w:pPr>
      <w:r w:rsidRPr="007574B9">
        <w:rPr>
          <w:rFonts w:ascii="Arial" w:hAnsi="Arial" w:cs="Arial"/>
          <w:sz w:val="22"/>
          <w:szCs w:val="22"/>
        </w:rPr>
        <w:t xml:space="preserve">Anexo 6: Iniciativas adicionales – Conflictos de interés </w:t>
      </w:r>
    </w:p>
    <w:p w14:paraId="6AD429CE" w14:textId="77777777" w:rsidR="00974478" w:rsidRPr="007574B9" w:rsidRDefault="00974478" w:rsidP="00974478">
      <w:pPr>
        <w:rPr>
          <w:rFonts w:ascii="Arial" w:hAnsi="Arial" w:cs="Arial"/>
          <w:sz w:val="22"/>
          <w:szCs w:val="22"/>
        </w:rPr>
      </w:pPr>
    </w:p>
    <w:p w14:paraId="5A4A4F89" w14:textId="77777777" w:rsidR="00974478" w:rsidRPr="007574B9" w:rsidRDefault="00974478" w:rsidP="00974478">
      <w:pPr>
        <w:rPr>
          <w:rFonts w:ascii="Arial" w:hAnsi="Arial" w:cs="Arial"/>
          <w:sz w:val="22"/>
          <w:szCs w:val="22"/>
        </w:rPr>
      </w:pPr>
    </w:p>
    <w:p w14:paraId="6FDA0F5C" w14:textId="344E2534" w:rsidR="00974478" w:rsidRPr="007574B9" w:rsidRDefault="00974478" w:rsidP="00974478">
      <w:pPr>
        <w:rPr>
          <w:rFonts w:ascii="Arial" w:hAnsi="Arial" w:cs="Arial"/>
          <w:sz w:val="22"/>
          <w:szCs w:val="22"/>
        </w:rPr>
      </w:pPr>
      <w:r w:rsidRPr="007574B9">
        <w:rPr>
          <w:rFonts w:ascii="Arial" w:hAnsi="Arial" w:cs="Arial"/>
          <w:sz w:val="22"/>
          <w:szCs w:val="22"/>
        </w:rPr>
        <w:t xml:space="preserve">Manizales, </w:t>
      </w:r>
      <w:r w:rsidR="007574B9">
        <w:rPr>
          <w:rFonts w:ascii="Arial" w:hAnsi="Arial" w:cs="Arial"/>
          <w:sz w:val="22"/>
          <w:szCs w:val="22"/>
        </w:rPr>
        <w:t>enero</w:t>
      </w:r>
      <w:r w:rsidRPr="007574B9">
        <w:rPr>
          <w:rFonts w:ascii="Arial" w:hAnsi="Arial" w:cs="Arial"/>
          <w:sz w:val="22"/>
          <w:szCs w:val="22"/>
        </w:rPr>
        <w:t xml:space="preserve"> de 202</w:t>
      </w:r>
      <w:r w:rsidR="007574B9">
        <w:rPr>
          <w:rFonts w:ascii="Arial" w:hAnsi="Arial" w:cs="Arial"/>
          <w:sz w:val="22"/>
          <w:szCs w:val="22"/>
        </w:rPr>
        <w:t>5</w:t>
      </w:r>
      <w:r w:rsidRPr="007574B9">
        <w:rPr>
          <w:rFonts w:ascii="Arial" w:hAnsi="Arial" w:cs="Arial"/>
          <w:sz w:val="22"/>
          <w:szCs w:val="22"/>
        </w:rPr>
        <w:t xml:space="preserve">. </w:t>
      </w:r>
    </w:p>
    <w:p w14:paraId="1B8C3F66" w14:textId="77777777" w:rsidR="00974478" w:rsidRPr="007574B9" w:rsidRDefault="00974478" w:rsidP="00974478">
      <w:pPr>
        <w:rPr>
          <w:rFonts w:ascii="Arial" w:hAnsi="Arial" w:cs="Arial"/>
          <w:sz w:val="22"/>
          <w:szCs w:val="22"/>
        </w:rPr>
      </w:pPr>
    </w:p>
    <w:p w14:paraId="6E68F302" w14:textId="77777777" w:rsidR="00974478" w:rsidRPr="007574B9" w:rsidRDefault="00974478" w:rsidP="00974478">
      <w:pPr>
        <w:rPr>
          <w:rFonts w:ascii="Arial" w:hAnsi="Arial" w:cs="Arial"/>
          <w:sz w:val="22"/>
          <w:szCs w:val="22"/>
        </w:rPr>
      </w:pPr>
    </w:p>
    <w:p w14:paraId="4B3F9474" w14:textId="77777777" w:rsidR="00974478" w:rsidRPr="007574B9" w:rsidRDefault="00974478" w:rsidP="00974478">
      <w:pPr>
        <w:jc w:val="center"/>
        <w:rPr>
          <w:rFonts w:ascii="Arial" w:hAnsi="Arial" w:cs="Arial"/>
          <w:b/>
          <w:bCs/>
          <w:sz w:val="22"/>
          <w:szCs w:val="22"/>
        </w:rPr>
      </w:pPr>
      <w:r w:rsidRPr="007574B9">
        <w:rPr>
          <w:rFonts w:ascii="Arial" w:hAnsi="Arial" w:cs="Arial"/>
          <w:b/>
          <w:bCs/>
          <w:sz w:val="22"/>
          <w:szCs w:val="22"/>
        </w:rPr>
        <w:t>MÓNICA LONDOÑO ARANGO</w:t>
      </w:r>
    </w:p>
    <w:p w14:paraId="612F0260" w14:textId="77777777" w:rsidR="00974478" w:rsidRPr="007574B9" w:rsidRDefault="00974478" w:rsidP="00974478">
      <w:pPr>
        <w:jc w:val="center"/>
        <w:rPr>
          <w:rFonts w:ascii="Arial" w:hAnsi="Arial" w:cs="Arial"/>
          <w:sz w:val="22"/>
          <w:szCs w:val="22"/>
        </w:rPr>
      </w:pPr>
      <w:r w:rsidRPr="007574B9">
        <w:rPr>
          <w:rFonts w:ascii="Arial" w:hAnsi="Arial" w:cs="Arial"/>
          <w:sz w:val="22"/>
          <w:szCs w:val="22"/>
        </w:rPr>
        <w:t>GERENTE</w:t>
      </w:r>
    </w:p>
    <w:p w14:paraId="637B0DB7" w14:textId="77777777" w:rsidR="00974478" w:rsidRPr="007574B9" w:rsidRDefault="00974478" w:rsidP="00974478">
      <w:pPr>
        <w:spacing w:line="276" w:lineRule="auto"/>
        <w:outlineLvl w:val="0"/>
        <w:rPr>
          <w:rFonts w:ascii="Arial" w:hAnsi="Arial" w:cs="Arial"/>
          <w:sz w:val="22"/>
          <w:szCs w:val="22"/>
        </w:rPr>
      </w:pPr>
    </w:p>
    <w:p w14:paraId="02CA1474" w14:textId="3ED1C3C0" w:rsidR="00974478" w:rsidRPr="007574B9" w:rsidRDefault="00974478" w:rsidP="00974478">
      <w:pPr>
        <w:spacing w:line="360" w:lineRule="auto"/>
        <w:outlineLvl w:val="0"/>
        <w:rPr>
          <w:rFonts w:ascii="Arial" w:hAnsi="Arial" w:cs="Arial"/>
          <w:i/>
          <w:iCs/>
          <w:sz w:val="16"/>
          <w:szCs w:val="16"/>
        </w:rPr>
      </w:pPr>
      <w:r w:rsidRPr="007574B9">
        <w:rPr>
          <w:rFonts w:ascii="Arial" w:hAnsi="Arial" w:cs="Arial"/>
          <w:i/>
          <w:iCs/>
          <w:sz w:val="16"/>
          <w:szCs w:val="16"/>
        </w:rPr>
        <w:t xml:space="preserve">Elaboró: Johanna Arbeláez Loaiza – Contratista </w:t>
      </w:r>
      <w:r w:rsidR="007574B9">
        <w:rPr>
          <w:rFonts w:ascii="Arial" w:hAnsi="Arial" w:cs="Arial"/>
          <w:i/>
          <w:iCs/>
          <w:sz w:val="16"/>
          <w:szCs w:val="16"/>
        </w:rPr>
        <w:t>Planeación</w:t>
      </w:r>
    </w:p>
    <w:p w14:paraId="461DFC81" w14:textId="21FF2DDC" w:rsidR="002E646F" w:rsidRPr="007574B9" w:rsidRDefault="00974478" w:rsidP="007574B9">
      <w:pPr>
        <w:spacing w:line="360" w:lineRule="auto"/>
        <w:rPr>
          <w:sz w:val="22"/>
          <w:szCs w:val="22"/>
        </w:rPr>
      </w:pPr>
      <w:r w:rsidRPr="007574B9">
        <w:rPr>
          <w:rFonts w:ascii="Arial" w:hAnsi="Arial" w:cs="Arial"/>
          <w:i/>
          <w:iCs/>
          <w:sz w:val="16"/>
          <w:szCs w:val="16"/>
        </w:rPr>
        <w:t>Aprobó: Comité Institucional de Gestión y Desempeño</w:t>
      </w:r>
      <w:r w:rsidRPr="007574B9">
        <w:rPr>
          <w:rFonts w:ascii="Arial" w:hAnsi="Arial" w:cs="Arial"/>
          <w:sz w:val="16"/>
          <w:szCs w:val="16"/>
        </w:rPr>
        <w:t xml:space="preserve"> </w:t>
      </w:r>
    </w:p>
    <w:sectPr w:rsidR="002E646F" w:rsidRPr="007574B9" w:rsidSect="001E3E14">
      <w:headerReference w:type="default" r:id="rId14"/>
      <w:footerReference w:type="default" r:id="rId15"/>
      <w:pgSz w:w="12240" w:h="15840"/>
      <w:pgMar w:top="1411" w:right="1699" w:bottom="172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877F" w14:textId="77777777" w:rsidR="00985CBB" w:rsidRDefault="00985CBB" w:rsidP="009E660C">
      <w:r>
        <w:separator/>
      </w:r>
    </w:p>
  </w:endnote>
  <w:endnote w:type="continuationSeparator" w:id="0">
    <w:p w14:paraId="7E1548E3" w14:textId="77777777" w:rsidR="00985CBB" w:rsidRDefault="00985CBB" w:rsidP="009E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FE5E" w14:textId="29FED673" w:rsidR="009E660C" w:rsidRDefault="001E3E14">
    <w:pPr>
      <w:pStyle w:val="Piedepgina"/>
    </w:pPr>
    <w:r>
      <w:rPr>
        <w:noProof/>
      </w:rPr>
      <w:drawing>
        <wp:anchor distT="0" distB="0" distL="114300" distR="114300" simplePos="0" relativeHeight="251661312" behindDoc="1" locked="0" layoutInCell="1" allowOverlap="1" wp14:anchorId="3075C8C1" wp14:editId="3BA394E1">
          <wp:simplePos x="0" y="0"/>
          <wp:positionH relativeFrom="column">
            <wp:posOffset>-1093380</wp:posOffset>
          </wp:positionH>
          <wp:positionV relativeFrom="paragraph">
            <wp:posOffset>-488859</wp:posOffset>
          </wp:positionV>
          <wp:extent cx="7891481" cy="1128939"/>
          <wp:effectExtent l="0" t="0" r="0" b="1905"/>
          <wp:wrapNone/>
          <wp:docPr id="63612216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22162" name="Imagen 636122162"/>
                  <pic:cNvPicPr/>
                </pic:nvPicPr>
                <pic:blipFill rotWithShape="1">
                  <a:blip r:embed="rId1">
                    <a:extLst>
                      <a:ext uri="{28A0092B-C50C-407E-A947-70E740481C1C}">
                        <a14:useLocalDpi xmlns:a14="http://schemas.microsoft.com/office/drawing/2010/main" val="0"/>
                      </a:ext>
                    </a:extLst>
                  </a:blip>
                  <a:srcRect t="32030"/>
                  <a:stretch/>
                </pic:blipFill>
                <pic:spPr bwMode="auto">
                  <a:xfrm>
                    <a:off x="0" y="0"/>
                    <a:ext cx="8006231" cy="1145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CA91" w14:textId="77777777" w:rsidR="00985CBB" w:rsidRDefault="00985CBB" w:rsidP="009E660C">
      <w:r>
        <w:separator/>
      </w:r>
    </w:p>
  </w:footnote>
  <w:footnote w:type="continuationSeparator" w:id="0">
    <w:p w14:paraId="0D2CE60A" w14:textId="77777777" w:rsidR="00985CBB" w:rsidRDefault="00985CBB" w:rsidP="009E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5A8E" w14:textId="050998C3" w:rsidR="009E660C" w:rsidRDefault="00053C16">
    <w:pPr>
      <w:pStyle w:val="Encabezado"/>
    </w:pPr>
    <w:r>
      <w:rPr>
        <w:noProof/>
      </w:rPr>
      <w:drawing>
        <wp:anchor distT="0" distB="0" distL="114300" distR="114300" simplePos="0" relativeHeight="251660288" behindDoc="1" locked="0" layoutInCell="1" allowOverlap="1" wp14:anchorId="5C362EBB" wp14:editId="4585D313">
          <wp:simplePos x="0" y="0"/>
          <wp:positionH relativeFrom="column">
            <wp:posOffset>-1093379</wp:posOffset>
          </wp:positionH>
          <wp:positionV relativeFrom="page">
            <wp:posOffset>0</wp:posOffset>
          </wp:positionV>
          <wp:extent cx="7792524" cy="1640114"/>
          <wp:effectExtent l="0" t="0" r="0" b="0"/>
          <wp:wrapSquare wrapText="bothSides"/>
          <wp:docPr id="85521285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212850" name="Imagen 855212850"/>
                  <pic:cNvPicPr/>
                </pic:nvPicPr>
                <pic:blipFill>
                  <a:blip r:embed="rId1">
                    <a:extLst>
                      <a:ext uri="{28A0092B-C50C-407E-A947-70E740481C1C}">
                        <a14:useLocalDpi xmlns:a14="http://schemas.microsoft.com/office/drawing/2010/main" val="0"/>
                      </a:ext>
                    </a:extLst>
                  </a:blip>
                  <a:stretch>
                    <a:fillRect/>
                  </a:stretch>
                </pic:blipFill>
                <pic:spPr>
                  <a:xfrm>
                    <a:off x="0" y="0"/>
                    <a:ext cx="7792524" cy="16401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4C08"/>
    <w:multiLevelType w:val="hybridMultilevel"/>
    <w:tmpl w:val="4B8CAFC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F24CA2"/>
    <w:multiLevelType w:val="hybridMultilevel"/>
    <w:tmpl w:val="4B8CAFC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3B03BF"/>
    <w:multiLevelType w:val="hybridMultilevel"/>
    <w:tmpl w:val="06624A3A"/>
    <w:lvl w:ilvl="0" w:tplc="F29830F2">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CD7E27"/>
    <w:multiLevelType w:val="hybridMultilevel"/>
    <w:tmpl w:val="F32430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986FFC"/>
    <w:multiLevelType w:val="hybridMultilevel"/>
    <w:tmpl w:val="64707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0C"/>
    <w:rsid w:val="00053C16"/>
    <w:rsid w:val="00170B03"/>
    <w:rsid w:val="001E3E14"/>
    <w:rsid w:val="002E646F"/>
    <w:rsid w:val="004B2CEF"/>
    <w:rsid w:val="005E1122"/>
    <w:rsid w:val="007574B9"/>
    <w:rsid w:val="00974478"/>
    <w:rsid w:val="00985CBB"/>
    <w:rsid w:val="00992D33"/>
    <w:rsid w:val="009E660C"/>
    <w:rsid w:val="00A346BC"/>
    <w:rsid w:val="00C56A20"/>
    <w:rsid w:val="00DA03E4"/>
    <w:rsid w:val="00E1412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39E8C"/>
  <w15:chartTrackingRefBased/>
  <w15:docId w15:val="{FCEC20D7-F6F1-A340-9441-FEDFEB685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66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9E66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66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66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66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660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660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660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660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660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E660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660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660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660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660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660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660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660C"/>
    <w:rPr>
      <w:rFonts w:eastAsiaTheme="majorEastAsia" w:cstheme="majorBidi"/>
      <w:color w:val="272727" w:themeColor="text1" w:themeTint="D8"/>
    </w:rPr>
  </w:style>
  <w:style w:type="paragraph" w:styleId="Ttulo">
    <w:name w:val="Title"/>
    <w:basedOn w:val="Normal"/>
    <w:next w:val="Normal"/>
    <w:link w:val="TtuloCar"/>
    <w:uiPriority w:val="10"/>
    <w:qFormat/>
    <w:rsid w:val="009E660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66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660C"/>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660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660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9E660C"/>
    <w:rPr>
      <w:i/>
      <w:iCs/>
      <w:color w:val="404040" w:themeColor="text1" w:themeTint="BF"/>
    </w:rPr>
  </w:style>
  <w:style w:type="paragraph" w:styleId="Prrafodelista">
    <w:name w:val="List Paragraph"/>
    <w:aliases w:val="List,titulo 3,Bullets,Ha,Cuadrícula clara - Énfasis 31,List Paragraph,Lista vistosa - Énfasis 11,LISTA,Lista HD,Lista multicolor - Énfasis 11,VIÑETA,VIÑETAS,Párrafo de lista2"/>
    <w:basedOn w:val="Normal"/>
    <w:link w:val="PrrafodelistaCar"/>
    <w:uiPriority w:val="34"/>
    <w:qFormat/>
    <w:rsid w:val="009E660C"/>
    <w:pPr>
      <w:ind w:left="720"/>
      <w:contextualSpacing/>
    </w:pPr>
  </w:style>
  <w:style w:type="character" w:styleId="nfasisintenso">
    <w:name w:val="Intense Emphasis"/>
    <w:basedOn w:val="Fuentedeprrafopredeter"/>
    <w:uiPriority w:val="21"/>
    <w:qFormat/>
    <w:rsid w:val="009E660C"/>
    <w:rPr>
      <w:i/>
      <w:iCs/>
      <w:color w:val="0F4761" w:themeColor="accent1" w:themeShade="BF"/>
    </w:rPr>
  </w:style>
  <w:style w:type="paragraph" w:styleId="Citadestacada">
    <w:name w:val="Intense Quote"/>
    <w:basedOn w:val="Normal"/>
    <w:next w:val="Normal"/>
    <w:link w:val="CitadestacadaCar"/>
    <w:uiPriority w:val="30"/>
    <w:qFormat/>
    <w:rsid w:val="009E6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660C"/>
    <w:rPr>
      <w:i/>
      <w:iCs/>
      <w:color w:val="0F4761" w:themeColor="accent1" w:themeShade="BF"/>
    </w:rPr>
  </w:style>
  <w:style w:type="character" w:styleId="Referenciaintensa">
    <w:name w:val="Intense Reference"/>
    <w:basedOn w:val="Fuentedeprrafopredeter"/>
    <w:uiPriority w:val="32"/>
    <w:qFormat/>
    <w:rsid w:val="009E660C"/>
    <w:rPr>
      <w:b/>
      <w:bCs/>
      <w:smallCaps/>
      <w:color w:val="0F4761" w:themeColor="accent1" w:themeShade="BF"/>
      <w:spacing w:val="5"/>
    </w:rPr>
  </w:style>
  <w:style w:type="paragraph" w:styleId="Encabezado">
    <w:name w:val="header"/>
    <w:basedOn w:val="Normal"/>
    <w:link w:val="EncabezadoCar"/>
    <w:uiPriority w:val="99"/>
    <w:unhideWhenUsed/>
    <w:rsid w:val="009E660C"/>
    <w:pPr>
      <w:tabs>
        <w:tab w:val="center" w:pos="4419"/>
        <w:tab w:val="right" w:pos="8838"/>
      </w:tabs>
    </w:pPr>
  </w:style>
  <w:style w:type="character" w:customStyle="1" w:styleId="EncabezadoCar">
    <w:name w:val="Encabezado Car"/>
    <w:basedOn w:val="Fuentedeprrafopredeter"/>
    <w:link w:val="Encabezado"/>
    <w:uiPriority w:val="99"/>
    <w:rsid w:val="009E660C"/>
  </w:style>
  <w:style w:type="paragraph" w:styleId="Piedepgina">
    <w:name w:val="footer"/>
    <w:basedOn w:val="Normal"/>
    <w:link w:val="PiedepginaCar"/>
    <w:uiPriority w:val="99"/>
    <w:unhideWhenUsed/>
    <w:rsid w:val="009E660C"/>
    <w:pPr>
      <w:tabs>
        <w:tab w:val="center" w:pos="4419"/>
        <w:tab w:val="right" w:pos="8838"/>
      </w:tabs>
    </w:pPr>
  </w:style>
  <w:style w:type="character" w:customStyle="1" w:styleId="PiedepginaCar">
    <w:name w:val="Pie de página Car"/>
    <w:basedOn w:val="Fuentedeprrafopredeter"/>
    <w:link w:val="Piedepgina"/>
    <w:uiPriority w:val="99"/>
    <w:rsid w:val="009E660C"/>
  </w:style>
  <w:style w:type="paragraph" w:styleId="NormalWeb">
    <w:name w:val="Normal (Web)"/>
    <w:basedOn w:val="Normal"/>
    <w:uiPriority w:val="99"/>
    <w:semiHidden/>
    <w:unhideWhenUsed/>
    <w:rsid w:val="009E660C"/>
    <w:pPr>
      <w:spacing w:before="100" w:beforeAutospacing="1" w:after="100" w:afterAutospacing="1"/>
    </w:pPr>
    <w:rPr>
      <w:rFonts w:ascii="Times New Roman" w:eastAsia="Times New Roman" w:hAnsi="Times New Roman" w:cs="Times New Roman"/>
      <w:kern w:val="0"/>
      <w:lang w:eastAsia="es-MX"/>
      <w14:ligatures w14:val="none"/>
    </w:rPr>
  </w:style>
  <w:style w:type="character" w:styleId="Textoennegrita">
    <w:name w:val="Strong"/>
    <w:basedOn w:val="Fuentedeprrafopredeter"/>
    <w:uiPriority w:val="22"/>
    <w:qFormat/>
    <w:rsid w:val="009E660C"/>
    <w:rPr>
      <w:b/>
      <w:bCs/>
    </w:rPr>
  </w:style>
  <w:style w:type="paragraph" w:customStyle="1" w:styleId="Default">
    <w:name w:val="Default"/>
    <w:rsid w:val="00974478"/>
    <w:pPr>
      <w:suppressAutoHyphens/>
      <w:spacing w:line="100" w:lineRule="atLeast"/>
    </w:pPr>
    <w:rPr>
      <w:rFonts w:ascii="Arial" w:eastAsia="SimSun" w:hAnsi="Arial" w:cs="Arial"/>
      <w:color w:val="000000"/>
      <w:kern w:val="1"/>
      <w:lang w:val="es-CO" w:eastAsia="ar-SA"/>
      <w14:ligatures w14:val="none"/>
    </w:rPr>
  </w:style>
  <w:style w:type="character" w:customStyle="1" w:styleId="PrrafodelistaCar">
    <w:name w:val="Párrafo de lista Car"/>
    <w:aliases w:val="List Car,titulo 3 Car,Bullets Car,Ha Car,Cuadrícula clara - Énfasis 31 Car,List Paragraph Car,Lista vistosa - Énfasis 11 Car,LISTA Car,Lista HD Car,Lista multicolor - Énfasis 11 Car,VIÑETA Car,VIÑETAS Car,Párrafo de lista2 Car"/>
    <w:link w:val="Prrafodelista"/>
    <w:uiPriority w:val="34"/>
    <w:locked/>
    <w:rsid w:val="00974478"/>
  </w:style>
  <w:style w:type="character" w:customStyle="1" w:styleId="fontstyle01">
    <w:name w:val="fontstyle01"/>
    <w:basedOn w:val="Fuentedeprrafopredeter"/>
    <w:rsid w:val="00974478"/>
    <w:rPr>
      <w:rFonts w:ascii="ArialMT" w:eastAsia="ArialMT" w:hint="eastAsia"/>
      <w:b w:val="0"/>
      <w:bCs w:val="0"/>
      <w:i w:val="0"/>
      <w:iCs w:val="0"/>
      <w:color w:val="1F1F1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53559">
      <w:bodyDiv w:val="1"/>
      <w:marLeft w:val="0"/>
      <w:marRight w:val="0"/>
      <w:marTop w:val="0"/>
      <w:marBottom w:val="0"/>
      <w:divBdr>
        <w:top w:val="none" w:sz="0" w:space="0" w:color="auto"/>
        <w:left w:val="none" w:sz="0" w:space="0" w:color="auto"/>
        <w:bottom w:val="none" w:sz="0" w:space="0" w:color="auto"/>
        <w:right w:val="none" w:sz="0" w:space="0" w:color="auto"/>
      </w:divBdr>
      <w:divsChild>
        <w:div w:id="1050424619">
          <w:marLeft w:val="432"/>
          <w:marRight w:val="216"/>
          <w:marTop w:val="0"/>
          <w:marBottom w:val="0"/>
          <w:divBdr>
            <w:top w:val="none" w:sz="0" w:space="0" w:color="auto"/>
            <w:left w:val="none" w:sz="0" w:space="0" w:color="auto"/>
            <w:bottom w:val="none" w:sz="0" w:space="0" w:color="auto"/>
            <w:right w:val="none" w:sz="0" w:space="0" w:color="auto"/>
          </w:divBdr>
        </w:div>
        <w:div w:id="1267881693">
          <w:marLeft w:val="216"/>
          <w:marRight w:val="432"/>
          <w:marTop w:val="0"/>
          <w:marBottom w:val="0"/>
          <w:divBdr>
            <w:top w:val="none" w:sz="0" w:space="0" w:color="auto"/>
            <w:left w:val="none" w:sz="0" w:space="0" w:color="auto"/>
            <w:bottom w:val="none" w:sz="0" w:space="0" w:color="auto"/>
            <w:right w:val="none" w:sz="0" w:space="0" w:color="auto"/>
          </w:divBdr>
        </w:div>
        <w:div w:id="143468932">
          <w:marLeft w:val="432"/>
          <w:marRight w:val="216"/>
          <w:marTop w:val="0"/>
          <w:marBottom w:val="0"/>
          <w:divBdr>
            <w:top w:val="none" w:sz="0" w:space="0" w:color="auto"/>
            <w:left w:val="none" w:sz="0" w:space="0" w:color="auto"/>
            <w:bottom w:val="none" w:sz="0" w:space="0" w:color="auto"/>
            <w:right w:val="none" w:sz="0" w:space="0" w:color="auto"/>
          </w:divBdr>
        </w:div>
        <w:div w:id="1314600771">
          <w:marLeft w:val="216"/>
          <w:marRight w:val="432"/>
          <w:marTop w:val="0"/>
          <w:marBottom w:val="0"/>
          <w:divBdr>
            <w:top w:val="none" w:sz="0" w:space="0" w:color="auto"/>
            <w:left w:val="none" w:sz="0" w:space="0" w:color="auto"/>
            <w:bottom w:val="none" w:sz="0" w:space="0" w:color="auto"/>
            <w:right w:val="none" w:sz="0" w:space="0" w:color="auto"/>
          </w:divBdr>
        </w:div>
      </w:divsChild>
    </w:div>
    <w:div w:id="1455097451">
      <w:bodyDiv w:val="1"/>
      <w:marLeft w:val="0"/>
      <w:marRight w:val="0"/>
      <w:marTop w:val="0"/>
      <w:marBottom w:val="0"/>
      <w:divBdr>
        <w:top w:val="none" w:sz="0" w:space="0" w:color="auto"/>
        <w:left w:val="none" w:sz="0" w:space="0" w:color="auto"/>
        <w:bottom w:val="none" w:sz="0" w:space="0" w:color="auto"/>
        <w:right w:val="none" w:sz="0" w:space="0" w:color="auto"/>
      </w:divBdr>
      <w:divsChild>
        <w:div w:id="1497380982">
          <w:marLeft w:val="432"/>
          <w:marRight w:val="216"/>
          <w:marTop w:val="0"/>
          <w:marBottom w:val="0"/>
          <w:divBdr>
            <w:top w:val="none" w:sz="0" w:space="0" w:color="auto"/>
            <w:left w:val="none" w:sz="0" w:space="0" w:color="auto"/>
            <w:bottom w:val="none" w:sz="0" w:space="0" w:color="auto"/>
            <w:right w:val="none" w:sz="0" w:space="0" w:color="auto"/>
          </w:divBdr>
        </w:div>
        <w:div w:id="462238097">
          <w:marLeft w:val="216"/>
          <w:marRight w:val="432"/>
          <w:marTop w:val="0"/>
          <w:marBottom w:val="0"/>
          <w:divBdr>
            <w:top w:val="none" w:sz="0" w:space="0" w:color="auto"/>
            <w:left w:val="none" w:sz="0" w:space="0" w:color="auto"/>
            <w:bottom w:val="none" w:sz="0" w:space="0" w:color="auto"/>
            <w:right w:val="none" w:sz="0" w:space="0" w:color="auto"/>
          </w:divBdr>
        </w:div>
        <w:div w:id="349261802">
          <w:marLeft w:val="432"/>
          <w:marRight w:val="216"/>
          <w:marTop w:val="0"/>
          <w:marBottom w:val="0"/>
          <w:divBdr>
            <w:top w:val="none" w:sz="0" w:space="0" w:color="auto"/>
            <w:left w:val="none" w:sz="0" w:space="0" w:color="auto"/>
            <w:bottom w:val="none" w:sz="0" w:space="0" w:color="auto"/>
            <w:right w:val="none" w:sz="0" w:space="0" w:color="auto"/>
          </w:divBdr>
        </w:div>
        <w:div w:id="1990674766">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procuraduria.gov.co/Pages/ita.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16D75B-672C-4927-89D1-55E3C92D5F77}" type="doc">
      <dgm:prSet loTypeId="urn:microsoft.com/office/officeart/2005/8/layout/cycle2" loCatId="cycle" qsTypeId="urn:microsoft.com/office/officeart/2005/8/quickstyle/simple1" qsCatId="simple" csTypeId="urn:microsoft.com/office/officeart/2005/8/colors/colorful4" csCatId="colorful" phldr="1"/>
      <dgm:spPr/>
      <dgm:t>
        <a:bodyPr/>
        <a:lstStyle/>
        <a:p>
          <a:endParaRPr lang="es-ES"/>
        </a:p>
      </dgm:t>
    </dgm:pt>
    <dgm:pt modelId="{948E330B-6F44-4A7D-924E-8A864932ECDA}">
      <dgm:prSet phldrT="[Texto]"/>
      <dgm:spPr/>
      <dgm:t>
        <a:bodyPr/>
        <a:lstStyle/>
        <a:p>
          <a:pPr algn="ctr"/>
          <a:r>
            <a:rPr lang="es-ES">
              <a:solidFill>
                <a:sysClr val="windowText" lastClr="000000"/>
              </a:solidFill>
            </a:rPr>
            <a:t>Política de Administración del Riesgo</a:t>
          </a:r>
        </a:p>
      </dgm:t>
    </dgm:pt>
    <dgm:pt modelId="{70B7806F-FD50-43B2-82E9-93FD880EC0DC}" type="parTrans" cxnId="{5A931E99-A1EB-488B-A196-93846EBE33B3}">
      <dgm:prSet/>
      <dgm:spPr/>
      <dgm:t>
        <a:bodyPr/>
        <a:lstStyle/>
        <a:p>
          <a:pPr algn="ctr"/>
          <a:endParaRPr lang="es-ES"/>
        </a:p>
      </dgm:t>
    </dgm:pt>
    <dgm:pt modelId="{DE211EC5-C518-4C3B-B575-769CDB119A31}" type="sibTrans" cxnId="{5A931E99-A1EB-488B-A196-93846EBE33B3}">
      <dgm:prSet/>
      <dgm:spPr/>
      <dgm:t>
        <a:bodyPr/>
        <a:lstStyle/>
        <a:p>
          <a:pPr algn="ctr"/>
          <a:endParaRPr lang="es-ES"/>
        </a:p>
      </dgm:t>
    </dgm:pt>
    <dgm:pt modelId="{50BD5AA2-57F6-4DEB-8BB0-609E5D991FE9}">
      <dgm:prSet phldrT="[Texto]"/>
      <dgm:spPr/>
      <dgm:t>
        <a:bodyPr/>
        <a:lstStyle/>
        <a:p>
          <a:pPr algn="ctr"/>
          <a:r>
            <a:rPr lang="es-ES">
              <a:solidFill>
                <a:sysClr val="windowText" lastClr="000000"/>
              </a:solidFill>
            </a:rPr>
            <a:t>Construcción del Mapa de Riesgos de Corrupción </a:t>
          </a:r>
        </a:p>
      </dgm:t>
    </dgm:pt>
    <dgm:pt modelId="{989F7209-137A-4ED7-8418-93865750687B}" type="parTrans" cxnId="{CCB315E7-4BD4-4B02-B300-A2CF6BB9C06D}">
      <dgm:prSet/>
      <dgm:spPr/>
      <dgm:t>
        <a:bodyPr/>
        <a:lstStyle/>
        <a:p>
          <a:pPr algn="ctr"/>
          <a:endParaRPr lang="es-ES"/>
        </a:p>
      </dgm:t>
    </dgm:pt>
    <dgm:pt modelId="{8BF4B7BB-B945-4441-A0D4-80810543F091}" type="sibTrans" cxnId="{CCB315E7-4BD4-4B02-B300-A2CF6BB9C06D}">
      <dgm:prSet/>
      <dgm:spPr/>
      <dgm:t>
        <a:bodyPr/>
        <a:lstStyle/>
        <a:p>
          <a:pPr algn="ctr"/>
          <a:endParaRPr lang="es-ES"/>
        </a:p>
      </dgm:t>
    </dgm:pt>
    <dgm:pt modelId="{5D2BABC8-43A2-4AFF-B346-70EFFF341CCF}">
      <dgm:prSet phldrT="[Texto]"/>
      <dgm:spPr/>
      <dgm:t>
        <a:bodyPr/>
        <a:lstStyle/>
        <a:p>
          <a:pPr algn="ctr"/>
          <a:r>
            <a:rPr lang="es-ES">
              <a:solidFill>
                <a:sysClr val="windowText" lastClr="000000"/>
              </a:solidFill>
            </a:rPr>
            <a:t>Consulta y Divulgación</a:t>
          </a:r>
        </a:p>
      </dgm:t>
    </dgm:pt>
    <dgm:pt modelId="{F3B49388-4640-45ED-8F2F-9B5F4FC39881}" type="parTrans" cxnId="{81BEC8D8-25D0-4C58-B26C-60FBC325CD8D}">
      <dgm:prSet/>
      <dgm:spPr/>
      <dgm:t>
        <a:bodyPr/>
        <a:lstStyle/>
        <a:p>
          <a:pPr algn="ctr"/>
          <a:endParaRPr lang="es-ES"/>
        </a:p>
      </dgm:t>
    </dgm:pt>
    <dgm:pt modelId="{7A9B67B6-8D36-4AA2-B181-25578E60D58F}" type="sibTrans" cxnId="{81BEC8D8-25D0-4C58-B26C-60FBC325CD8D}">
      <dgm:prSet/>
      <dgm:spPr/>
      <dgm:t>
        <a:bodyPr/>
        <a:lstStyle/>
        <a:p>
          <a:pPr algn="ctr"/>
          <a:endParaRPr lang="es-ES"/>
        </a:p>
      </dgm:t>
    </dgm:pt>
    <dgm:pt modelId="{853BC57E-766C-419C-A611-2DEED5A387FF}">
      <dgm:prSet phldrT="[Texto]"/>
      <dgm:spPr/>
      <dgm:t>
        <a:bodyPr/>
        <a:lstStyle/>
        <a:p>
          <a:pPr algn="ctr"/>
          <a:r>
            <a:rPr lang="es-ES">
              <a:solidFill>
                <a:sysClr val="windowText" lastClr="000000"/>
              </a:solidFill>
            </a:rPr>
            <a:t>Monitoreo y Revisión </a:t>
          </a:r>
        </a:p>
      </dgm:t>
    </dgm:pt>
    <dgm:pt modelId="{48F5CFA7-4323-43F1-94B8-16058EE814D4}" type="parTrans" cxnId="{CD02991C-C84D-47D6-96FF-0FE25332D0FD}">
      <dgm:prSet/>
      <dgm:spPr/>
      <dgm:t>
        <a:bodyPr/>
        <a:lstStyle/>
        <a:p>
          <a:pPr algn="ctr"/>
          <a:endParaRPr lang="es-ES"/>
        </a:p>
      </dgm:t>
    </dgm:pt>
    <dgm:pt modelId="{713A4369-BD69-434D-A2A0-DBB6A1AAC77F}" type="sibTrans" cxnId="{CD02991C-C84D-47D6-96FF-0FE25332D0FD}">
      <dgm:prSet/>
      <dgm:spPr/>
      <dgm:t>
        <a:bodyPr/>
        <a:lstStyle/>
        <a:p>
          <a:pPr algn="ctr"/>
          <a:endParaRPr lang="es-ES"/>
        </a:p>
      </dgm:t>
    </dgm:pt>
    <dgm:pt modelId="{EFFBE7C3-A813-451D-9C66-574FF39C6DF5}">
      <dgm:prSet phldrT="[Texto]"/>
      <dgm:spPr/>
      <dgm:t>
        <a:bodyPr/>
        <a:lstStyle/>
        <a:p>
          <a:pPr algn="ctr"/>
          <a:r>
            <a:rPr lang="es-ES">
              <a:solidFill>
                <a:sysClr val="windowText" lastClr="000000"/>
              </a:solidFill>
            </a:rPr>
            <a:t>Seguimiento</a:t>
          </a:r>
        </a:p>
      </dgm:t>
    </dgm:pt>
    <dgm:pt modelId="{363277A5-8F94-46DB-AC23-75486A11D2B2}" type="parTrans" cxnId="{788F353E-909F-40D7-9B68-118E24BD05F3}">
      <dgm:prSet/>
      <dgm:spPr/>
      <dgm:t>
        <a:bodyPr/>
        <a:lstStyle/>
        <a:p>
          <a:pPr algn="ctr"/>
          <a:endParaRPr lang="es-ES"/>
        </a:p>
      </dgm:t>
    </dgm:pt>
    <dgm:pt modelId="{B9F382C7-CF8C-49B5-B6EC-DE13F4430436}" type="sibTrans" cxnId="{788F353E-909F-40D7-9B68-118E24BD05F3}">
      <dgm:prSet/>
      <dgm:spPr/>
      <dgm:t>
        <a:bodyPr/>
        <a:lstStyle/>
        <a:p>
          <a:pPr algn="ctr"/>
          <a:endParaRPr lang="es-ES"/>
        </a:p>
      </dgm:t>
    </dgm:pt>
    <dgm:pt modelId="{CBD93DA4-9562-419C-8788-BC01A17196E8}" type="pres">
      <dgm:prSet presAssocID="{5816D75B-672C-4927-89D1-55E3C92D5F77}" presName="cycle" presStyleCnt="0">
        <dgm:presLayoutVars>
          <dgm:dir/>
          <dgm:resizeHandles val="exact"/>
        </dgm:presLayoutVars>
      </dgm:prSet>
      <dgm:spPr/>
    </dgm:pt>
    <dgm:pt modelId="{01D4A0E8-755E-405A-8A3A-A16EB6E58343}" type="pres">
      <dgm:prSet presAssocID="{948E330B-6F44-4A7D-924E-8A864932ECDA}" presName="node" presStyleLbl="node1" presStyleIdx="0" presStyleCnt="5">
        <dgm:presLayoutVars>
          <dgm:bulletEnabled val="1"/>
        </dgm:presLayoutVars>
      </dgm:prSet>
      <dgm:spPr/>
    </dgm:pt>
    <dgm:pt modelId="{8F7F87C4-8619-4787-9A3B-3D00035472E8}" type="pres">
      <dgm:prSet presAssocID="{DE211EC5-C518-4C3B-B575-769CDB119A31}" presName="sibTrans" presStyleLbl="sibTrans2D1" presStyleIdx="0" presStyleCnt="5"/>
      <dgm:spPr/>
    </dgm:pt>
    <dgm:pt modelId="{8FC65BE0-C4C4-45A7-A93F-C3F219BD390E}" type="pres">
      <dgm:prSet presAssocID="{DE211EC5-C518-4C3B-B575-769CDB119A31}" presName="connectorText" presStyleLbl="sibTrans2D1" presStyleIdx="0" presStyleCnt="5"/>
      <dgm:spPr/>
    </dgm:pt>
    <dgm:pt modelId="{0F8C964F-508D-4483-B288-30DC4C4F8ECB}" type="pres">
      <dgm:prSet presAssocID="{50BD5AA2-57F6-4DEB-8BB0-609E5D991FE9}" presName="node" presStyleLbl="node1" presStyleIdx="1" presStyleCnt="5">
        <dgm:presLayoutVars>
          <dgm:bulletEnabled val="1"/>
        </dgm:presLayoutVars>
      </dgm:prSet>
      <dgm:spPr/>
    </dgm:pt>
    <dgm:pt modelId="{BE3064C1-3F47-478B-8416-20C157BB8AB1}" type="pres">
      <dgm:prSet presAssocID="{8BF4B7BB-B945-4441-A0D4-80810543F091}" presName="sibTrans" presStyleLbl="sibTrans2D1" presStyleIdx="1" presStyleCnt="5"/>
      <dgm:spPr/>
    </dgm:pt>
    <dgm:pt modelId="{60380C67-09E5-4ACF-8544-1375272678EB}" type="pres">
      <dgm:prSet presAssocID="{8BF4B7BB-B945-4441-A0D4-80810543F091}" presName="connectorText" presStyleLbl="sibTrans2D1" presStyleIdx="1" presStyleCnt="5"/>
      <dgm:spPr/>
    </dgm:pt>
    <dgm:pt modelId="{18622D77-647B-4A33-B502-D931963728C3}" type="pres">
      <dgm:prSet presAssocID="{5D2BABC8-43A2-4AFF-B346-70EFFF341CCF}" presName="node" presStyleLbl="node1" presStyleIdx="2" presStyleCnt="5">
        <dgm:presLayoutVars>
          <dgm:bulletEnabled val="1"/>
        </dgm:presLayoutVars>
      </dgm:prSet>
      <dgm:spPr/>
    </dgm:pt>
    <dgm:pt modelId="{F639C27E-81CA-44A1-A4A4-12BBD7CCEDC8}" type="pres">
      <dgm:prSet presAssocID="{7A9B67B6-8D36-4AA2-B181-25578E60D58F}" presName="sibTrans" presStyleLbl="sibTrans2D1" presStyleIdx="2" presStyleCnt="5"/>
      <dgm:spPr/>
    </dgm:pt>
    <dgm:pt modelId="{335DE760-D379-4483-9549-A23CF988BEA0}" type="pres">
      <dgm:prSet presAssocID="{7A9B67B6-8D36-4AA2-B181-25578E60D58F}" presName="connectorText" presStyleLbl="sibTrans2D1" presStyleIdx="2" presStyleCnt="5"/>
      <dgm:spPr/>
    </dgm:pt>
    <dgm:pt modelId="{604B7FEE-CD5F-43FE-BC99-5C00D43404F1}" type="pres">
      <dgm:prSet presAssocID="{853BC57E-766C-419C-A611-2DEED5A387FF}" presName="node" presStyleLbl="node1" presStyleIdx="3" presStyleCnt="5">
        <dgm:presLayoutVars>
          <dgm:bulletEnabled val="1"/>
        </dgm:presLayoutVars>
      </dgm:prSet>
      <dgm:spPr/>
    </dgm:pt>
    <dgm:pt modelId="{046F2E2D-9339-4BF9-843D-AABE82012E96}" type="pres">
      <dgm:prSet presAssocID="{713A4369-BD69-434D-A2A0-DBB6A1AAC77F}" presName="sibTrans" presStyleLbl="sibTrans2D1" presStyleIdx="3" presStyleCnt="5"/>
      <dgm:spPr/>
    </dgm:pt>
    <dgm:pt modelId="{7A491F44-6510-4687-94B6-7CE327985A1E}" type="pres">
      <dgm:prSet presAssocID="{713A4369-BD69-434D-A2A0-DBB6A1AAC77F}" presName="connectorText" presStyleLbl="sibTrans2D1" presStyleIdx="3" presStyleCnt="5"/>
      <dgm:spPr/>
    </dgm:pt>
    <dgm:pt modelId="{E9FBC6E7-022F-4B86-9214-609732E964B3}" type="pres">
      <dgm:prSet presAssocID="{EFFBE7C3-A813-451D-9C66-574FF39C6DF5}" presName="node" presStyleLbl="node1" presStyleIdx="4" presStyleCnt="5">
        <dgm:presLayoutVars>
          <dgm:bulletEnabled val="1"/>
        </dgm:presLayoutVars>
      </dgm:prSet>
      <dgm:spPr/>
    </dgm:pt>
    <dgm:pt modelId="{90706044-A75B-41EF-A3BA-39B2DBD6A9C9}" type="pres">
      <dgm:prSet presAssocID="{B9F382C7-CF8C-49B5-B6EC-DE13F4430436}" presName="sibTrans" presStyleLbl="sibTrans2D1" presStyleIdx="4" presStyleCnt="5"/>
      <dgm:spPr/>
    </dgm:pt>
    <dgm:pt modelId="{F807D32A-7591-411E-9709-7165F4CC62EE}" type="pres">
      <dgm:prSet presAssocID="{B9F382C7-CF8C-49B5-B6EC-DE13F4430436}" presName="connectorText" presStyleLbl="sibTrans2D1" presStyleIdx="4" presStyleCnt="5"/>
      <dgm:spPr/>
    </dgm:pt>
  </dgm:ptLst>
  <dgm:cxnLst>
    <dgm:cxn modelId="{CD02991C-C84D-47D6-96FF-0FE25332D0FD}" srcId="{5816D75B-672C-4927-89D1-55E3C92D5F77}" destId="{853BC57E-766C-419C-A611-2DEED5A387FF}" srcOrd="3" destOrd="0" parTransId="{48F5CFA7-4323-43F1-94B8-16058EE814D4}" sibTransId="{713A4369-BD69-434D-A2A0-DBB6A1AAC77F}"/>
    <dgm:cxn modelId="{4EB9311D-3313-43F8-B5E7-79D9D8B0D984}" type="presOf" srcId="{7A9B67B6-8D36-4AA2-B181-25578E60D58F}" destId="{F639C27E-81CA-44A1-A4A4-12BBD7CCEDC8}" srcOrd="0" destOrd="0" presId="urn:microsoft.com/office/officeart/2005/8/layout/cycle2"/>
    <dgm:cxn modelId="{F597CE24-492F-497B-8437-C34A03ADB0CC}" type="presOf" srcId="{5816D75B-672C-4927-89D1-55E3C92D5F77}" destId="{CBD93DA4-9562-419C-8788-BC01A17196E8}" srcOrd="0" destOrd="0" presId="urn:microsoft.com/office/officeart/2005/8/layout/cycle2"/>
    <dgm:cxn modelId="{788F353E-909F-40D7-9B68-118E24BD05F3}" srcId="{5816D75B-672C-4927-89D1-55E3C92D5F77}" destId="{EFFBE7C3-A813-451D-9C66-574FF39C6DF5}" srcOrd="4" destOrd="0" parTransId="{363277A5-8F94-46DB-AC23-75486A11D2B2}" sibTransId="{B9F382C7-CF8C-49B5-B6EC-DE13F4430436}"/>
    <dgm:cxn modelId="{C2682167-0851-4FCB-9851-28E0791E4A10}" type="presOf" srcId="{7A9B67B6-8D36-4AA2-B181-25578E60D58F}" destId="{335DE760-D379-4483-9549-A23CF988BEA0}" srcOrd="1" destOrd="0" presId="urn:microsoft.com/office/officeart/2005/8/layout/cycle2"/>
    <dgm:cxn modelId="{C6ECE16D-141E-452A-91E2-D200E002B9B1}" type="presOf" srcId="{8BF4B7BB-B945-4441-A0D4-80810543F091}" destId="{60380C67-09E5-4ACF-8544-1375272678EB}" srcOrd="1" destOrd="0" presId="urn:microsoft.com/office/officeart/2005/8/layout/cycle2"/>
    <dgm:cxn modelId="{B7C0A151-33AD-42BB-8669-28D7065C2C52}" type="presOf" srcId="{50BD5AA2-57F6-4DEB-8BB0-609E5D991FE9}" destId="{0F8C964F-508D-4483-B288-30DC4C4F8ECB}" srcOrd="0" destOrd="0" presId="urn:microsoft.com/office/officeart/2005/8/layout/cycle2"/>
    <dgm:cxn modelId="{60640958-222D-4C32-9422-812B2B69C054}" type="presOf" srcId="{948E330B-6F44-4A7D-924E-8A864932ECDA}" destId="{01D4A0E8-755E-405A-8A3A-A16EB6E58343}" srcOrd="0" destOrd="0" presId="urn:microsoft.com/office/officeart/2005/8/layout/cycle2"/>
    <dgm:cxn modelId="{478A587C-AA51-4602-A847-FC8FD0F3E058}" type="presOf" srcId="{5D2BABC8-43A2-4AFF-B346-70EFFF341CCF}" destId="{18622D77-647B-4A33-B502-D931963728C3}" srcOrd="0" destOrd="0" presId="urn:microsoft.com/office/officeart/2005/8/layout/cycle2"/>
    <dgm:cxn modelId="{5A931E99-A1EB-488B-A196-93846EBE33B3}" srcId="{5816D75B-672C-4927-89D1-55E3C92D5F77}" destId="{948E330B-6F44-4A7D-924E-8A864932ECDA}" srcOrd="0" destOrd="0" parTransId="{70B7806F-FD50-43B2-82E9-93FD880EC0DC}" sibTransId="{DE211EC5-C518-4C3B-B575-769CDB119A31}"/>
    <dgm:cxn modelId="{71A4549C-49B0-4F51-80DF-0FCF372F0F62}" type="presOf" srcId="{DE211EC5-C518-4C3B-B575-769CDB119A31}" destId="{8FC65BE0-C4C4-45A7-A93F-C3F219BD390E}" srcOrd="1" destOrd="0" presId="urn:microsoft.com/office/officeart/2005/8/layout/cycle2"/>
    <dgm:cxn modelId="{76C731AE-25CA-4828-B270-4CE62ED177D4}" type="presOf" srcId="{8BF4B7BB-B945-4441-A0D4-80810543F091}" destId="{BE3064C1-3F47-478B-8416-20C157BB8AB1}" srcOrd="0" destOrd="0" presId="urn:microsoft.com/office/officeart/2005/8/layout/cycle2"/>
    <dgm:cxn modelId="{9FA4FEAF-7867-4C51-8F95-3F20B8C50BCE}" type="presOf" srcId="{DE211EC5-C518-4C3B-B575-769CDB119A31}" destId="{8F7F87C4-8619-4787-9A3B-3D00035472E8}" srcOrd="0" destOrd="0" presId="urn:microsoft.com/office/officeart/2005/8/layout/cycle2"/>
    <dgm:cxn modelId="{6A8F71B2-37A5-4CF1-91D2-0F49723AC581}" type="presOf" srcId="{853BC57E-766C-419C-A611-2DEED5A387FF}" destId="{604B7FEE-CD5F-43FE-BC99-5C00D43404F1}" srcOrd="0" destOrd="0" presId="urn:microsoft.com/office/officeart/2005/8/layout/cycle2"/>
    <dgm:cxn modelId="{8BB934C4-347E-4466-A036-3D21A22489A8}" type="presOf" srcId="{EFFBE7C3-A813-451D-9C66-574FF39C6DF5}" destId="{E9FBC6E7-022F-4B86-9214-609732E964B3}" srcOrd="0" destOrd="0" presId="urn:microsoft.com/office/officeart/2005/8/layout/cycle2"/>
    <dgm:cxn modelId="{8366C0CD-154C-4A8A-804E-F38FE9F5D8F2}" type="presOf" srcId="{713A4369-BD69-434D-A2A0-DBB6A1AAC77F}" destId="{7A491F44-6510-4687-94B6-7CE327985A1E}" srcOrd="1" destOrd="0" presId="urn:microsoft.com/office/officeart/2005/8/layout/cycle2"/>
    <dgm:cxn modelId="{81BEC8D8-25D0-4C58-B26C-60FBC325CD8D}" srcId="{5816D75B-672C-4927-89D1-55E3C92D5F77}" destId="{5D2BABC8-43A2-4AFF-B346-70EFFF341CCF}" srcOrd="2" destOrd="0" parTransId="{F3B49388-4640-45ED-8F2F-9B5F4FC39881}" sibTransId="{7A9B67B6-8D36-4AA2-B181-25578E60D58F}"/>
    <dgm:cxn modelId="{0C8CE7E0-3777-4BEF-A1BE-2247C42BF789}" type="presOf" srcId="{B9F382C7-CF8C-49B5-B6EC-DE13F4430436}" destId="{90706044-A75B-41EF-A3BA-39B2DBD6A9C9}" srcOrd="0" destOrd="0" presId="urn:microsoft.com/office/officeart/2005/8/layout/cycle2"/>
    <dgm:cxn modelId="{CCB315E7-4BD4-4B02-B300-A2CF6BB9C06D}" srcId="{5816D75B-672C-4927-89D1-55E3C92D5F77}" destId="{50BD5AA2-57F6-4DEB-8BB0-609E5D991FE9}" srcOrd="1" destOrd="0" parTransId="{989F7209-137A-4ED7-8418-93865750687B}" sibTransId="{8BF4B7BB-B945-4441-A0D4-80810543F091}"/>
    <dgm:cxn modelId="{159599F6-E1C4-4F78-AD78-B3865977D461}" type="presOf" srcId="{713A4369-BD69-434D-A2A0-DBB6A1AAC77F}" destId="{046F2E2D-9339-4BF9-843D-AABE82012E96}" srcOrd="0" destOrd="0" presId="urn:microsoft.com/office/officeart/2005/8/layout/cycle2"/>
    <dgm:cxn modelId="{501CA2FA-0A26-4E1A-96F5-929B62617629}" type="presOf" srcId="{B9F382C7-CF8C-49B5-B6EC-DE13F4430436}" destId="{F807D32A-7591-411E-9709-7165F4CC62EE}" srcOrd="1" destOrd="0" presId="urn:microsoft.com/office/officeart/2005/8/layout/cycle2"/>
    <dgm:cxn modelId="{9F9CC287-0977-465C-AB87-0385057D052E}" type="presParOf" srcId="{CBD93DA4-9562-419C-8788-BC01A17196E8}" destId="{01D4A0E8-755E-405A-8A3A-A16EB6E58343}" srcOrd="0" destOrd="0" presId="urn:microsoft.com/office/officeart/2005/8/layout/cycle2"/>
    <dgm:cxn modelId="{C8411476-AB78-47A1-98AE-3E49A2E82164}" type="presParOf" srcId="{CBD93DA4-9562-419C-8788-BC01A17196E8}" destId="{8F7F87C4-8619-4787-9A3B-3D00035472E8}" srcOrd="1" destOrd="0" presId="urn:microsoft.com/office/officeart/2005/8/layout/cycle2"/>
    <dgm:cxn modelId="{99DAC26F-CAF0-4F07-9214-4CE51A7AEC3D}" type="presParOf" srcId="{8F7F87C4-8619-4787-9A3B-3D00035472E8}" destId="{8FC65BE0-C4C4-45A7-A93F-C3F219BD390E}" srcOrd="0" destOrd="0" presId="urn:microsoft.com/office/officeart/2005/8/layout/cycle2"/>
    <dgm:cxn modelId="{1404864D-83CF-4605-B1B1-EC63A8405747}" type="presParOf" srcId="{CBD93DA4-9562-419C-8788-BC01A17196E8}" destId="{0F8C964F-508D-4483-B288-30DC4C4F8ECB}" srcOrd="2" destOrd="0" presId="urn:microsoft.com/office/officeart/2005/8/layout/cycle2"/>
    <dgm:cxn modelId="{0738446B-6BBC-412B-8ABA-4D6B8F5A8E5F}" type="presParOf" srcId="{CBD93DA4-9562-419C-8788-BC01A17196E8}" destId="{BE3064C1-3F47-478B-8416-20C157BB8AB1}" srcOrd="3" destOrd="0" presId="urn:microsoft.com/office/officeart/2005/8/layout/cycle2"/>
    <dgm:cxn modelId="{E2226034-6BE8-4D7A-8547-EDB93D60B79D}" type="presParOf" srcId="{BE3064C1-3F47-478B-8416-20C157BB8AB1}" destId="{60380C67-09E5-4ACF-8544-1375272678EB}" srcOrd="0" destOrd="0" presId="urn:microsoft.com/office/officeart/2005/8/layout/cycle2"/>
    <dgm:cxn modelId="{7DA5F7F8-987B-40F0-90D1-18E30EE17200}" type="presParOf" srcId="{CBD93DA4-9562-419C-8788-BC01A17196E8}" destId="{18622D77-647B-4A33-B502-D931963728C3}" srcOrd="4" destOrd="0" presId="urn:microsoft.com/office/officeart/2005/8/layout/cycle2"/>
    <dgm:cxn modelId="{97643043-1BF7-4AC1-BDF2-E03AB6945DF6}" type="presParOf" srcId="{CBD93DA4-9562-419C-8788-BC01A17196E8}" destId="{F639C27E-81CA-44A1-A4A4-12BBD7CCEDC8}" srcOrd="5" destOrd="0" presId="urn:microsoft.com/office/officeart/2005/8/layout/cycle2"/>
    <dgm:cxn modelId="{7C54909E-8933-4F1A-933F-00D1320FAD48}" type="presParOf" srcId="{F639C27E-81CA-44A1-A4A4-12BBD7CCEDC8}" destId="{335DE760-D379-4483-9549-A23CF988BEA0}" srcOrd="0" destOrd="0" presId="urn:microsoft.com/office/officeart/2005/8/layout/cycle2"/>
    <dgm:cxn modelId="{2ACC7AA4-9B42-4605-A532-7DE1261D9EFB}" type="presParOf" srcId="{CBD93DA4-9562-419C-8788-BC01A17196E8}" destId="{604B7FEE-CD5F-43FE-BC99-5C00D43404F1}" srcOrd="6" destOrd="0" presId="urn:microsoft.com/office/officeart/2005/8/layout/cycle2"/>
    <dgm:cxn modelId="{7DD4D285-F380-4761-BF62-73B32DFB2911}" type="presParOf" srcId="{CBD93DA4-9562-419C-8788-BC01A17196E8}" destId="{046F2E2D-9339-4BF9-843D-AABE82012E96}" srcOrd="7" destOrd="0" presId="urn:microsoft.com/office/officeart/2005/8/layout/cycle2"/>
    <dgm:cxn modelId="{6D76E969-4D10-4FC7-8F78-0BAEE104B491}" type="presParOf" srcId="{046F2E2D-9339-4BF9-843D-AABE82012E96}" destId="{7A491F44-6510-4687-94B6-7CE327985A1E}" srcOrd="0" destOrd="0" presId="urn:microsoft.com/office/officeart/2005/8/layout/cycle2"/>
    <dgm:cxn modelId="{CCD18459-DEA3-47B2-8163-40DC039D5AC8}" type="presParOf" srcId="{CBD93DA4-9562-419C-8788-BC01A17196E8}" destId="{E9FBC6E7-022F-4B86-9214-609732E964B3}" srcOrd="8" destOrd="0" presId="urn:microsoft.com/office/officeart/2005/8/layout/cycle2"/>
    <dgm:cxn modelId="{78DF53CF-F365-4632-B547-8E4ED11D4A8F}" type="presParOf" srcId="{CBD93DA4-9562-419C-8788-BC01A17196E8}" destId="{90706044-A75B-41EF-A3BA-39B2DBD6A9C9}" srcOrd="9" destOrd="0" presId="urn:microsoft.com/office/officeart/2005/8/layout/cycle2"/>
    <dgm:cxn modelId="{325E76A6-0C67-4532-9F2F-AF6F50DC7ACF}" type="presParOf" srcId="{90706044-A75B-41EF-A3BA-39B2DBD6A9C9}" destId="{F807D32A-7591-411E-9709-7165F4CC62EE}"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D4A0E8-755E-405A-8A3A-A16EB6E58343}">
      <dsp:nvSpPr>
        <dsp:cNvPr id="0" name=""/>
        <dsp:cNvSpPr/>
      </dsp:nvSpPr>
      <dsp:spPr>
        <a:xfrm>
          <a:off x="2259657" y="390"/>
          <a:ext cx="967085" cy="967085"/>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Política de Administración del Riesgo</a:t>
          </a:r>
        </a:p>
      </dsp:txBody>
      <dsp:txXfrm>
        <a:off x="2401283" y="142016"/>
        <a:ext cx="683833" cy="683833"/>
      </dsp:txXfrm>
    </dsp:sp>
    <dsp:sp modelId="{8F7F87C4-8619-4787-9A3B-3D00035472E8}">
      <dsp:nvSpPr>
        <dsp:cNvPr id="0" name=""/>
        <dsp:cNvSpPr/>
      </dsp:nvSpPr>
      <dsp:spPr>
        <a:xfrm rot="2160000">
          <a:off x="3196004" y="742848"/>
          <a:ext cx="256362" cy="326391"/>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3203348" y="785523"/>
        <a:ext cx="179453" cy="195835"/>
      </dsp:txXfrm>
    </dsp:sp>
    <dsp:sp modelId="{0F8C964F-508D-4483-B288-30DC4C4F8ECB}">
      <dsp:nvSpPr>
        <dsp:cNvPr id="0" name=""/>
        <dsp:cNvSpPr/>
      </dsp:nvSpPr>
      <dsp:spPr>
        <a:xfrm>
          <a:off x="3433369" y="853142"/>
          <a:ext cx="967085" cy="967085"/>
        </a:xfrm>
        <a:prstGeom prst="ellipse">
          <a:avLst/>
        </a:prstGeom>
        <a:solidFill>
          <a:schemeClr val="accent4">
            <a:hueOff val="1649984"/>
            <a:satOff val="-7300"/>
            <a:lumOff val="-12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Construcción del Mapa de Riesgos de Corrupción </a:t>
          </a:r>
        </a:p>
      </dsp:txBody>
      <dsp:txXfrm>
        <a:off x="3574995" y="994768"/>
        <a:ext cx="683833" cy="683833"/>
      </dsp:txXfrm>
    </dsp:sp>
    <dsp:sp modelId="{BE3064C1-3F47-478B-8416-20C157BB8AB1}">
      <dsp:nvSpPr>
        <dsp:cNvPr id="0" name=""/>
        <dsp:cNvSpPr/>
      </dsp:nvSpPr>
      <dsp:spPr>
        <a:xfrm rot="6480000">
          <a:off x="3566814" y="1856479"/>
          <a:ext cx="256362" cy="326391"/>
        </a:xfrm>
        <a:prstGeom prst="rightArrow">
          <a:avLst>
            <a:gd name="adj1" fmla="val 60000"/>
            <a:gd name="adj2" fmla="val 50000"/>
          </a:avLst>
        </a:prstGeom>
        <a:solidFill>
          <a:schemeClr val="accent4">
            <a:hueOff val="1649984"/>
            <a:satOff val="-7300"/>
            <a:lumOff val="-122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rot="10800000">
        <a:off x="3617152" y="1885185"/>
        <a:ext cx="179453" cy="195835"/>
      </dsp:txXfrm>
    </dsp:sp>
    <dsp:sp modelId="{18622D77-647B-4A33-B502-D931963728C3}">
      <dsp:nvSpPr>
        <dsp:cNvPr id="0" name=""/>
        <dsp:cNvSpPr/>
      </dsp:nvSpPr>
      <dsp:spPr>
        <a:xfrm>
          <a:off x="2985051" y="2232924"/>
          <a:ext cx="967085" cy="967085"/>
        </a:xfrm>
        <a:prstGeom prst="ellipse">
          <a:avLst/>
        </a:prstGeom>
        <a:solidFill>
          <a:schemeClr val="accent4">
            <a:hueOff val="3299968"/>
            <a:satOff val="-14601"/>
            <a:lumOff val="-24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Consulta y Divulgación</a:t>
          </a:r>
        </a:p>
      </dsp:txBody>
      <dsp:txXfrm>
        <a:off x="3126677" y="2374550"/>
        <a:ext cx="683833" cy="683833"/>
      </dsp:txXfrm>
    </dsp:sp>
    <dsp:sp modelId="{F639C27E-81CA-44A1-A4A4-12BBD7CCEDC8}">
      <dsp:nvSpPr>
        <dsp:cNvPr id="0" name=""/>
        <dsp:cNvSpPr/>
      </dsp:nvSpPr>
      <dsp:spPr>
        <a:xfrm rot="10800000">
          <a:off x="2622274" y="2553271"/>
          <a:ext cx="256362" cy="326391"/>
        </a:xfrm>
        <a:prstGeom prst="rightArrow">
          <a:avLst>
            <a:gd name="adj1" fmla="val 60000"/>
            <a:gd name="adj2" fmla="val 50000"/>
          </a:avLst>
        </a:prstGeom>
        <a:solidFill>
          <a:schemeClr val="accent4">
            <a:hueOff val="3299968"/>
            <a:satOff val="-14601"/>
            <a:lumOff val="-245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rot="10800000">
        <a:off x="2699183" y="2618549"/>
        <a:ext cx="179453" cy="195835"/>
      </dsp:txXfrm>
    </dsp:sp>
    <dsp:sp modelId="{604B7FEE-CD5F-43FE-BC99-5C00D43404F1}">
      <dsp:nvSpPr>
        <dsp:cNvPr id="0" name=""/>
        <dsp:cNvSpPr/>
      </dsp:nvSpPr>
      <dsp:spPr>
        <a:xfrm>
          <a:off x="1534263" y="2232924"/>
          <a:ext cx="967085" cy="967085"/>
        </a:xfrm>
        <a:prstGeom prst="ellipse">
          <a:avLst/>
        </a:prstGeom>
        <a:solidFill>
          <a:schemeClr val="accent4">
            <a:hueOff val="4949952"/>
            <a:satOff val="-21901"/>
            <a:lumOff val="-36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Monitoreo y Revisión </a:t>
          </a:r>
        </a:p>
      </dsp:txBody>
      <dsp:txXfrm>
        <a:off x="1675889" y="2374550"/>
        <a:ext cx="683833" cy="683833"/>
      </dsp:txXfrm>
    </dsp:sp>
    <dsp:sp modelId="{046F2E2D-9339-4BF9-843D-AABE82012E96}">
      <dsp:nvSpPr>
        <dsp:cNvPr id="0" name=""/>
        <dsp:cNvSpPr/>
      </dsp:nvSpPr>
      <dsp:spPr>
        <a:xfrm rot="15120000">
          <a:off x="1667707" y="1870280"/>
          <a:ext cx="256362" cy="326391"/>
        </a:xfrm>
        <a:prstGeom prst="rightArrow">
          <a:avLst>
            <a:gd name="adj1" fmla="val 60000"/>
            <a:gd name="adj2" fmla="val 50000"/>
          </a:avLst>
        </a:prstGeom>
        <a:solidFill>
          <a:schemeClr val="accent4">
            <a:hueOff val="4949952"/>
            <a:satOff val="-21901"/>
            <a:lumOff val="-36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rot="10800000">
        <a:off x="1718045" y="1972130"/>
        <a:ext cx="179453" cy="195835"/>
      </dsp:txXfrm>
    </dsp:sp>
    <dsp:sp modelId="{E9FBC6E7-022F-4B86-9214-609732E964B3}">
      <dsp:nvSpPr>
        <dsp:cNvPr id="0" name=""/>
        <dsp:cNvSpPr/>
      </dsp:nvSpPr>
      <dsp:spPr>
        <a:xfrm>
          <a:off x="1085945" y="853142"/>
          <a:ext cx="967085" cy="967085"/>
        </a:xfrm>
        <a:prstGeom prst="ellipse">
          <a:avLst/>
        </a:prstGeom>
        <a:solidFill>
          <a:schemeClr val="accent4">
            <a:hueOff val="6599937"/>
            <a:satOff val="-29202"/>
            <a:lumOff val="-490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ES" sz="800" kern="1200">
              <a:solidFill>
                <a:sysClr val="windowText" lastClr="000000"/>
              </a:solidFill>
            </a:rPr>
            <a:t>Seguimiento</a:t>
          </a:r>
        </a:p>
      </dsp:txBody>
      <dsp:txXfrm>
        <a:off x="1227571" y="994768"/>
        <a:ext cx="683833" cy="683833"/>
      </dsp:txXfrm>
    </dsp:sp>
    <dsp:sp modelId="{90706044-A75B-41EF-A3BA-39B2DBD6A9C9}">
      <dsp:nvSpPr>
        <dsp:cNvPr id="0" name=""/>
        <dsp:cNvSpPr/>
      </dsp:nvSpPr>
      <dsp:spPr>
        <a:xfrm rot="19440000">
          <a:off x="2022292" y="751378"/>
          <a:ext cx="256362" cy="326391"/>
        </a:xfrm>
        <a:prstGeom prst="rightArrow">
          <a:avLst>
            <a:gd name="adj1" fmla="val 60000"/>
            <a:gd name="adj2" fmla="val 50000"/>
          </a:avLst>
        </a:prstGeom>
        <a:solidFill>
          <a:schemeClr val="accent4">
            <a:hueOff val="6599937"/>
            <a:satOff val="-29202"/>
            <a:lumOff val="-490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s-ES" sz="7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4110</Words>
  <Characters>22611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Johanna</cp:lastModifiedBy>
  <cp:revision>3</cp:revision>
  <dcterms:created xsi:type="dcterms:W3CDTF">2025-01-21T15:19:00Z</dcterms:created>
  <dcterms:modified xsi:type="dcterms:W3CDTF">2025-01-21T15:28:00Z</dcterms:modified>
</cp:coreProperties>
</file>